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Innovatsiooniprojekti ideekavand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1"/>
      </w:r>
    </w:p>
    <w:p>
      <w:pPr>
        <w:pStyle w:val="Body"/>
        <w:spacing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AVALIKU SEKTORI INNOVATSIOONIV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Õ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IMEKUSE T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Õ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STMINE </w:t>
      </w:r>
    </w:p>
    <w:p>
      <w:pPr>
        <w:pStyle w:val="Body"/>
        <w:spacing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rPr>
          <w:rStyle w:val="Hyperlink.0"/>
        </w:rPr>
      </w:pPr>
      <w:r>
        <w:rPr>
          <w:sz w:val="20"/>
          <w:szCs w:val="20"/>
          <w:rtl w:val="0"/>
          <w:lang w:val="nl-NL"/>
        </w:rPr>
        <w:t>Ideekavandit t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 xml:space="preserve">ites palume tutvuda riigikantselei veebilehel toodud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"https://www.riigikantselei.ee/avaliku-sektori-innovatsioon#sihtgrupp"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soovituste ja juhistega projekti esitajale. </w:t>
      </w:r>
      <w:r>
        <w:rPr/>
        <w:fldChar w:fldCharType="end" w:fldLock="0"/>
      </w:r>
    </w:p>
    <w:p>
      <w:pPr>
        <w:pStyle w:val="Body"/>
        <w:spacing w:after="0"/>
        <w:rPr>
          <w:sz w:val="20"/>
          <w:szCs w:val="20"/>
        </w:rPr>
      </w:pPr>
    </w:p>
    <w:tbl>
      <w:tblPr>
        <w:tblW w:w="93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00"/>
        <w:gridCol w:w="6346"/>
      </w:tblGrid>
      <w:tr>
        <w:tblPrEx>
          <w:shd w:val="clear" w:color="auto" w:fill="cdd4e9"/>
        </w:tblPrEx>
        <w:trPr>
          <w:trHeight w:val="574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Innovatsiooniprojekti nimi</w:t>
            </w:r>
          </w:p>
        </w:tc>
        <w:tc>
          <w:tcPr>
            <w:tcW w:type="dxa" w:w="63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 xml:space="preserve">Aruait (ing.k </w:t>
            </w:r>
            <w:r>
              <w:rPr>
                <w:i w:val="1"/>
                <w:iCs w:val="1"/>
                <w:rtl w:val="0"/>
              </w:rPr>
              <w:t>Reason Reserve</w:t>
            </w:r>
            <w:r>
              <w:rPr>
                <w:rtl w:val="0"/>
              </w:rPr>
              <w:t xml:space="preserve">) - </w:t>
            </w:r>
          </w:p>
          <w:p>
            <w:pPr>
              <w:pStyle w:val="Body"/>
            </w:pPr>
            <w:r>
              <w:rPr>
                <w:i w:val="1"/>
                <w:iCs w:val="1"/>
                <w:rtl w:val="0"/>
              </w:rPr>
              <w:t>Suver</w:t>
            </w:r>
            <w:r>
              <w:rPr>
                <w:i w:val="1"/>
                <w:iCs w:val="1"/>
                <w:rtl w:val="0"/>
              </w:rPr>
              <w:t>ää</w:t>
            </w:r>
            <w:r>
              <w:rPr>
                <w:i w:val="1"/>
                <w:iCs w:val="1"/>
                <w:rtl w:val="0"/>
              </w:rPr>
              <w:t>nne halduskiht tehisaru agentidele</w:t>
            </w:r>
          </w:p>
        </w:tc>
      </w:tr>
      <w:tr>
        <w:tblPrEx>
          <w:shd w:val="clear" w:color="auto" w:fill="cdd4e9"/>
        </w:tblPrEx>
        <w:trPr>
          <w:trHeight w:val="973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Innovatsiooniprojekti fookusvaldkond</w:t>
            </w:r>
          </w:p>
        </w:tc>
        <w:tc>
          <w:tcPr>
            <w:tcW w:type="dxa" w:w="63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 w:hint="default"/>
                <w:rtl w:val="0"/>
              </w:rPr>
              <w:t xml:space="preserve">☑ </w:t>
            </w:r>
            <w:r>
              <w:rPr>
                <w:rFonts w:ascii="Arial" w:cs="Arial Unicode MS" w:hAnsi="Arial" w:eastAsia="Arial Unicode MS"/>
                <w:rtl w:val="0"/>
              </w:rPr>
              <w:t>Riigi kriisikindluse suurendamine</w:t>
            </w:r>
          </w:p>
          <w:p>
            <w:pPr>
              <w:pStyle w:val="Body"/>
            </w:pPr>
            <w:r>
              <w:rPr>
                <w:rFonts w:ascii="Arial" w:cs="Arial Unicode MS" w:hAnsi="Arial" w:eastAsia="Arial Unicode MS" w:hint="default"/>
                <w:rtl w:val="0"/>
              </w:rPr>
              <w:t xml:space="preserve">☑ </w:t>
            </w:r>
            <w:r>
              <w:rPr>
                <w:rFonts w:ascii="Arial" w:cs="Arial Unicode MS" w:hAnsi="Arial" w:eastAsia="Arial Unicode MS"/>
                <w:rtl w:val="0"/>
              </w:rPr>
              <w:t>Majanduse kasvule kaasa aitamine</w:t>
            </w:r>
          </w:p>
          <w:p>
            <w:pPr>
              <w:pStyle w:val="Body"/>
            </w:pPr>
            <w:r>
              <w:rPr>
                <w:rFonts w:ascii="Arial" w:cs="Arial Unicode MS" w:hAnsi="Arial" w:eastAsia="Arial Unicode MS" w:hint="default"/>
                <w:rtl w:val="0"/>
              </w:rPr>
              <w:t xml:space="preserve">☑ </w:t>
            </w:r>
            <w:r>
              <w:rPr>
                <w:rFonts w:ascii="Arial" w:cs="Arial Unicode MS" w:hAnsi="Arial" w:eastAsia="Arial Unicode MS"/>
                <w:rtl w:val="0"/>
              </w:rPr>
              <w:t>Riigi t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hus juhtimine</w:t>
            </w:r>
          </w:p>
        </w:tc>
      </w:tr>
      <w:tr>
        <w:tblPrEx>
          <w:shd w:val="clear" w:color="auto" w:fill="cdd4e9"/>
        </w:tblPrEx>
        <w:trPr>
          <w:trHeight w:val="614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 xml:space="preserve">Innovatsiooniprojekti esitajad </w:t>
            </w:r>
            <w:r>
              <w:rPr>
                <w:rFonts w:ascii="Arial" w:cs="Arial Unicode MS" w:hAnsi="Arial" w:eastAsia="Arial Unicode MS" w:hint="default"/>
                <w:rtl w:val="0"/>
              </w:rPr>
              <w:br w:type="textWrapping"/>
            </w:r>
            <w:r>
              <w:rPr>
                <w:rFonts w:ascii="Arial" w:cs="Arial Unicode MS" w:hAnsi="Arial" w:eastAsia="Arial Unicode MS"/>
                <w:rtl w:val="0"/>
              </w:rPr>
              <w:t>(tulevased RK partnerid) (asutus/asutused)</w:t>
            </w:r>
          </w:p>
        </w:tc>
        <w:tc>
          <w:tcPr>
            <w:tcW w:type="dxa" w:w="63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Riigi Infos</w:t>
            </w:r>
            <w:r>
              <w:rPr>
                <w:rFonts w:ascii="Arial" w:cs="Arial Unicode MS" w:hAnsi="Arial" w:eastAsia="Arial Unicode MS" w:hint="default"/>
                <w:rtl w:val="0"/>
              </w:rPr>
              <w:t>ü</w:t>
            </w:r>
            <w:r>
              <w:rPr>
                <w:rFonts w:ascii="Arial" w:cs="Arial Unicode MS" w:hAnsi="Arial" w:eastAsia="Arial Unicode MS"/>
                <w:rtl w:val="0"/>
              </w:rPr>
              <w:t>steemi Amet (RIA)</w:t>
            </w:r>
          </w:p>
        </w:tc>
      </w:tr>
      <w:tr>
        <w:tblPrEx>
          <w:shd w:val="clear" w:color="auto" w:fill="cdd4e9"/>
        </w:tblPrEx>
        <w:trPr>
          <w:trHeight w:val="1294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Projektijuht v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i ideekavandi esitaja kontaktisik</w:t>
            </w:r>
            <w:r>
              <w:rPr>
                <w:rFonts w:ascii="Arial" w:cs="Arial Unicode MS" w:hAnsi="Arial" w:eastAsia="Arial Unicode MS" w:hint="default"/>
                <w:rtl w:val="0"/>
              </w:rPr>
              <w:br w:type="textWrapping"/>
            </w:r>
            <w:r>
              <w:rPr>
                <w:rFonts w:ascii="Arial" w:cs="Arial Unicode MS" w:hAnsi="Arial" w:eastAsia="Arial Unicode MS"/>
                <w:rtl w:val="0"/>
              </w:rPr>
              <w:t>(nimi, asutus, e</w:t>
            </w:r>
            <w:r>
              <w:rPr>
                <w:rFonts w:ascii="Arial" w:cs="Arial Unicode MS" w:hAnsi="Arial" w:eastAsia="Arial Unicode MS" w:hint="default"/>
                <w:rtl w:val="0"/>
              </w:rPr>
              <w:t>–</w:t>
            </w:r>
            <w:r>
              <w:rPr>
                <w:rFonts w:ascii="Arial" w:cs="Arial Unicode MS" w:hAnsi="Arial" w:eastAsia="Arial Unicode MS"/>
                <w:rtl w:val="0"/>
              </w:rPr>
              <w:t>posti aadress ja telefon)</w:t>
            </w:r>
          </w:p>
        </w:tc>
        <w:tc>
          <w:tcPr>
            <w:tcW w:type="dxa" w:w="63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>Otto 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ttas</w:t>
            </w:r>
          </w:p>
          <w:p>
            <w:pPr>
              <w:pStyle w:val="Body"/>
            </w:pPr>
            <w:r>
              <w:rPr>
                <w:rtl w:val="0"/>
              </w:rPr>
              <w:t>Riigi Infos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steemi Amet / Taltech</w:t>
            </w:r>
          </w:p>
          <w:p>
            <w:pPr>
              <w:pStyle w:val="Body"/>
            </w:pPr>
            <w:r>
              <w:rPr>
                <w:rtl w:val="0"/>
              </w:rPr>
              <w:t xml:space="preserve">E-post: </w:t>
            </w:r>
            <w:r>
              <w:rPr/>
              <w:fldChar w:fldCharType="begin" w:fldLock="0"/>
            </w:r>
            <w:r>
              <w:instrText xml:space="preserve"> HYPERLINK "mailto:otto.mattas@ria.ee"</w:instrText>
            </w:r>
            <w:r>
              <w:rPr/>
              <w:fldChar w:fldCharType="separate" w:fldLock="0"/>
            </w:r>
            <w:r>
              <w:rPr>
                <w:rtl w:val="0"/>
              </w:rPr>
              <w:t>otto.mattas@ria.ee</w:t>
            </w:r>
            <w:r>
              <w:rPr/>
              <w:fldChar w:fldCharType="end" w:fldLock="0"/>
            </w:r>
          </w:p>
          <w:p>
            <w:pPr>
              <w:pStyle w:val="Body"/>
            </w:pPr>
            <w:r>
              <w:rPr>
                <w:rtl w:val="0"/>
              </w:rPr>
              <w:t>Telefon: +372 5662 8362</w:t>
            </w:r>
          </w:p>
        </w:tc>
      </w:tr>
      <w:tr>
        <w:tblPrEx>
          <w:shd w:val="clear" w:color="auto" w:fill="cdd4e9"/>
        </w:tblPrEx>
        <w:trPr>
          <w:trHeight w:val="414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Innovatsiooniprojekti kestus (kuudes)</w:t>
            </w:r>
          </w:p>
        </w:tc>
        <w:tc>
          <w:tcPr>
            <w:tcW w:type="dxa" w:w="63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24 kuud</w:t>
            </w:r>
          </w:p>
        </w:tc>
      </w:tr>
      <w:tr>
        <w:tblPrEx>
          <w:shd w:val="clear" w:color="auto" w:fill="cdd4e9"/>
        </w:tblPrEx>
        <w:trPr>
          <w:trHeight w:val="614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 xml:space="preserve">Innovatsiooniprojekti kogumaksumus </w:t>
            </w:r>
            <w:r>
              <w:rPr>
                <w:rFonts w:ascii="Arial" w:cs="Arial Unicode MS" w:hAnsi="Arial" w:eastAsia="Arial Unicode MS" w:hint="default"/>
                <w:rtl w:val="0"/>
              </w:rPr>
              <w:br w:type="textWrapping"/>
            </w:r>
            <w:r>
              <w:rPr>
                <w:rFonts w:ascii="Arial" w:cs="Arial Unicode MS" w:hAnsi="Arial" w:eastAsia="Arial Unicode MS"/>
                <w:rtl w:val="0"/>
              </w:rPr>
              <w:t>(sh k</w:t>
            </w:r>
            <w:r>
              <w:rPr>
                <w:rFonts w:ascii="Arial" w:cs="Arial Unicode MS" w:hAnsi="Arial" w:eastAsia="Arial Unicode MS" w:hint="default"/>
                <w:rtl w:val="0"/>
              </w:rPr>
              <w:t>ä</w:t>
            </w:r>
            <w:r>
              <w:rPr>
                <w:rFonts w:ascii="Arial" w:cs="Arial Unicode MS" w:hAnsi="Arial" w:eastAsia="Arial Unicode MS"/>
                <w:rtl w:val="0"/>
              </w:rPr>
              <w:t>ibemaks, kui on abik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lblik)</w:t>
            </w:r>
          </w:p>
        </w:tc>
        <w:tc>
          <w:tcPr>
            <w:tcW w:type="dxa" w:w="63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1 000 000 eurot</w:t>
            </w:r>
          </w:p>
        </w:tc>
      </w:tr>
      <w:tr>
        <w:tblPrEx>
          <w:shd w:val="clear" w:color="auto" w:fill="cdd4e9"/>
        </w:tblPrEx>
        <w:trPr>
          <w:trHeight w:val="597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K</w:t>
            </w:r>
            <w:r>
              <w:rPr>
                <w:rFonts w:ascii="Arial" w:cs="Arial Unicode MS" w:hAnsi="Arial" w:eastAsia="Arial Unicode MS" w:hint="default"/>
                <w:rtl w:val="0"/>
              </w:rPr>
              <w:t>ä</w:t>
            </w:r>
            <w:r>
              <w:rPr>
                <w:rFonts w:ascii="Arial" w:cs="Arial Unicode MS" w:hAnsi="Arial" w:eastAsia="Arial Unicode MS"/>
                <w:rtl w:val="0"/>
              </w:rPr>
              <w:t>ibemaks</w:t>
            </w:r>
          </w:p>
        </w:tc>
        <w:tc>
          <w:tcPr>
            <w:tcW w:type="dxa" w:w="63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 w:hint="default"/>
                <w:rtl w:val="0"/>
              </w:rPr>
              <w:t xml:space="preserve">☑ </w:t>
            </w:r>
            <w:r>
              <w:rPr>
                <w:rFonts w:ascii="Arial" w:cs="Arial Unicode MS" w:hAnsi="Arial" w:eastAsia="Arial Unicode MS"/>
                <w:rtl w:val="0"/>
              </w:rPr>
              <w:t>j</w:t>
            </w:r>
            <w:r>
              <w:rPr>
                <w:rFonts w:ascii="Arial" w:cs="Arial Unicode MS" w:hAnsi="Arial" w:eastAsia="Arial Unicode MS" w:hint="default"/>
                <w:rtl w:val="0"/>
              </w:rPr>
              <w:t>ää</w:t>
            </w:r>
            <w:r>
              <w:rPr>
                <w:rFonts w:ascii="Arial" w:cs="Arial Unicode MS" w:hAnsi="Arial" w:eastAsia="Arial Unicode MS"/>
                <w:rtl w:val="0"/>
              </w:rPr>
              <w:t>b kulu tegija kanda (k</w:t>
            </w:r>
            <w:r>
              <w:rPr>
                <w:rFonts w:ascii="Arial" w:cs="Arial Unicode MS" w:hAnsi="Arial" w:eastAsia="Arial Unicode MS" w:hint="default"/>
                <w:rtl w:val="0"/>
              </w:rPr>
              <w:t>ä</w:t>
            </w:r>
            <w:r>
              <w:rPr>
                <w:rFonts w:ascii="Arial" w:cs="Arial Unicode MS" w:hAnsi="Arial" w:eastAsia="Arial Unicode MS"/>
                <w:rtl w:val="0"/>
              </w:rPr>
              <w:t>ibemaks abik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 xml:space="preserve">lblik) </w:t>
            </w:r>
          </w:p>
          <w:p>
            <w:pPr>
              <w:pStyle w:val="Body"/>
            </w:pPr>
            <w:r>
              <w:rPr>
                <w:rFonts w:ascii="Arial" w:cs="Arial Unicode MS" w:hAnsi="Arial" w:eastAsia="Arial Unicode MS" w:hint="default"/>
                <w:rtl w:val="0"/>
              </w:rPr>
              <w:t xml:space="preserve">☐ </w:t>
            </w:r>
            <w:r>
              <w:rPr>
                <w:rFonts w:ascii="Arial" w:cs="Arial Unicode MS" w:hAnsi="Arial" w:eastAsia="Arial Unicode MS"/>
                <w:rtl w:val="0"/>
              </w:rPr>
              <w:t>saab k</w:t>
            </w:r>
            <w:r>
              <w:rPr>
                <w:rFonts w:ascii="Arial" w:cs="Arial Unicode MS" w:hAnsi="Arial" w:eastAsia="Arial Unicode MS" w:hint="default"/>
                <w:rtl w:val="0"/>
              </w:rPr>
              <w:t>ü</w:t>
            </w:r>
            <w:r>
              <w:rPr>
                <w:rFonts w:ascii="Arial" w:cs="Arial Unicode MS" w:hAnsi="Arial" w:eastAsia="Arial Unicode MS"/>
                <w:rtl w:val="0"/>
              </w:rPr>
              <w:t>sida riigilt tagasi (k</w:t>
            </w:r>
            <w:r>
              <w:rPr>
                <w:rFonts w:ascii="Arial" w:cs="Arial Unicode MS" w:hAnsi="Arial" w:eastAsia="Arial Unicode MS" w:hint="default"/>
                <w:rtl w:val="0"/>
              </w:rPr>
              <w:t>ä</w:t>
            </w:r>
            <w:r>
              <w:rPr>
                <w:rFonts w:ascii="Arial" w:cs="Arial Unicode MS" w:hAnsi="Arial" w:eastAsia="Arial Unicode MS"/>
                <w:rtl w:val="0"/>
              </w:rPr>
              <w:t>ibemaks ei ole abik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lblik)</w:t>
            </w:r>
          </w:p>
        </w:tc>
      </w:tr>
    </w:tbl>
    <w:p>
      <w:pPr>
        <w:pStyle w:val="Body"/>
        <w:spacing w:after="0"/>
        <w:rPr>
          <w:sz w:val="20"/>
          <w:szCs w:val="20"/>
        </w:rPr>
      </w:pPr>
    </w:p>
    <w:p>
      <w:pPr>
        <w:pStyle w:val="Body"/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shd w:val="clear" w:color="auto" w:fill="ffff00"/>
        </w:rPr>
        <w:br w:type="page"/>
      </w: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46"/>
      </w:tblGrid>
      <w:tr>
        <w:tblPrEx>
          <w:shd w:val="clear" w:color="auto" w:fill="cdd4e9"/>
        </w:tblPrEx>
        <w:trPr>
          <w:trHeight w:val="169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17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nl-NL"/>
              </w:rPr>
              <w:t>1. Probleemikirjeldus (max 2 lk)</w:t>
            </w:r>
          </w:p>
          <w:p>
            <w:pPr>
              <w:pStyle w:val="Body"/>
            </w:pPr>
            <w:r>
              <w:rPr>
                <w:rtl w:val="0"/>
              </w:rPr>
              <w:t>Kirjeldage lahendamist vajavat probleemi, selle olulisust ning keda see probleem puudutab.</w:t>
            </w:r>
          </w:p>
          <w:p>
            <w:pPr>
              <w:pStyle w:val="Body"/>
              <w:numPr>
                <w:ilvl w:val="0"/>
                <w:numId w:val="1"/>
              </w:numPr>
            </w:pPr>
            <w:r>
              <w:rPr>
                <w:rtl w:val="0"/>
                <w:lang w:val="nl-NL"/>
              </w:rPr>
              <w:t>Selgitage, miks on probleem aktuaalne.</w:t>
            </w:r>
          </w:p>
          <w:p>
            <w:pPr>
              <w:pStyle w:val="Body"/>
              <w:numPr>
                <w:ilvl w:val="0"/>
                <w:numId w:val="1"/>
              </w:numPr>
            </w:pPr>
            <w:r>
              <w:rPr>
                <w:rtl w:val="0"/>
                <w:lang w:val="nl-NL"/>
              </w:rPr>
              <w:t>Hinnake probleemi m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ju (nt rahaline kokkuhoid, keskkonna-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 sotsiaalne kasu).Kirjeldage probleemi tausta. Mida on probleemi lahendamiseks Eestis juba tehtud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i mis on tegemisel? Tooge v</w:t>
            </w:r>
            <w:r>
              <w:rPr>
                <w:rtl w:val="0"/>
              </w:rPr>
              <w:t>ä</w:t>
            </w:r>
            <w:r>
              <w:rPr>
                <w:rtl w:val="0"/>
                <w:lang w:val="nl-NL"/>
              </w:rPr>
              <w:t>lja relevantsed teiste riikide kogemused probleemi lahendamisel.</w:t>
            </w:r>
          </w:p>
        </w:tc>
      </w:tr>
      <w:tr>
        <w:tblPrEx>
          <w:shd w:val="clear" w:color="auto" w:fill="cdd4e9"/>
        </w:tblPrEx>
        <w:trPr>
          <w:trHeight w:val="1125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aption"/>
              <w:bidi w:val="0"/>
            </w:pPr>
            <w:r>
              <w:rPr>
                <w:rtl w:val="0"/>
              </w:rPr>
              <w:t>Strateegiline vajadus uue arenguh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ppe j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rele</w:t>
            </w:r>
          </w:p>
          <w:p>
            <w:pPr>
              <w:pStyle w:val="Body"/>
            </w:pPr>
            <w:r>
              <w:rPr>
                <w:rtl w:val="0"/>
              </w:rPr>
              <w:t>Eesti digiriik on saavutanud maailmas silmapaistva taseme, kuid seisab silmitsi vajadusega liikuda edasi, et tagada konkurentsieelis ja j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tkusuutlikkus ka tulevikus. Riiklik strateegia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Eesti 2035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toob selgelt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lja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ealise elanikkonna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henemise ja vajaduse hoida riigi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lalpidamiskulusid kontrolli all [1]. Olukorras, kus inimressurss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heneb, on vaja edasi liikuda mudelilt, kus ametnik toimib infos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steemidevahelise sidujana. Me peame liikuma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suhtlevalt riigilt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nane B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rokratt) edasi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tegumip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hise/toimetava</w:t>
            </w:r>
            <w:r>
              <w:rPr>
                <w:rtl w:val="0"/>
              </w:rPr>
              <w:t xml:space="preserve"> riigi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>ing.k</w:t>
            </w:r>
            <w:r>
              <w:rPr>
                <w:rtl w:val="0"/>
              </w:rPr>
              <w:t xml:space="preserve"> </w:t>
            </w:r>
            <w:r>
              <w:rPr>
                <w:i w:val="1"/>
                <w:iCs w:val="1"/>
                <w:rtl w:val="0"/>
                <w:lang w:val="en-US"/>
              </w:rPr>
              <w:t>Agentic State</w:t>
            </w:r>
            <w:r>
              <w:rPr>
                <w:rtl w:val="0"/>
              </w:rPr>
              <w:t>) suunas, kus rutiinseid toiminguid teostavad autonoomsed agendid, mitte inimesed [</w:t>
            </w:r>
            <w:r>
              <w:rPr>
                <w:rtl w:val="0"/>
              </w:rPr>
              <w:t>7</w:t>
            </w:r>
            <w:r>
              <w:rPr>
                <w:rtl w:val="0"/>
                <w:lang w:val="pt-PT"/>
              </w:rPr>
              <w:t>].</w:t>
            </w:r>
            <w:r>
              <w:rPr>
                <w:rtl w:val="0"/>
              </w:rPr>
              <w:t xml:space="preserve"> Samuti on oluline 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tta arvesse erasektori poolt kujundatud eeskuju tuleviku teenustele (nt juturobotite kiire areng), mis m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jutab l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ppkasutaja (nt kodaniku 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 ettev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tte) ootusi riigile. [12]</w:t>
            </w:r>
          </w:p>
          <w:p>
            <w:pPr>
              <w:pStyle w:val="Caption"/>
              <w:bidi w:val="0"/>
            </w:pPr>
            <w:r>
              <w:rPr>
                <w:rtl w:val="0"/>
              </w:rPr>
              <w:t>Majanduslik risk</w:t>
            </w:r>
          </w:p>
          <w:p>
            <w:pPr>
              <w:pStyle w:val="Body"/>
            </w:pPr>
            <w:r>
              <w:rPr>
                <w:rtl w:val="0"/>
              </w:rPr>
              <w:t>Rahvusvaheline statistika n</w:t>
            </w:r>
            <w:r>
              <w:rPr>
                <w:rtl w:val="0"/>
              </w:rPr>
              <w:t>ä</w:t>
            </w:r>
            <w:r>
              <w:rPr>
                <w:rtl w:val="0"/>
                <w:lang w:val="en-US"/>
              </w:rPr>
              <w:t xml:space="preserve">itab trendi, mida Massachusettsi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ehnoloogiainstituut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>MIT</w:t>
            </w:r>
            <w:r>
              <w:rPr>
                <w:rtl w:val="0"/>
              </w:rPr>
              <w:t>)</w:t>
            </w:r>
            <w:r>
              <w:rPr>
                <w:rtl w:val="0"/>
              </w:rPr>
              <w:t xml:space="preserve"> ja </w:t>
            </w:r>
            <w:r>
              <w:rPr>
                <w:rtl w:val="0"/>
              </w:rPr>
              <w:t>Boston Consulting Group (</w:t>
            </w:r>
            <w:r>
              <w:rPr>
                <w:rtl w:val="0"/>
                <w:lang w:val="fr-FR"/>
              </w:rPr>
              <w:t>BCG</w:t>
            </w:r>
            <w:r>
              <w:rPr>
                <w:rtl w:val="0"/>
              </w:rPr>
              <w:t>)</w:t>
            </w:r>
            <w:r>
              <w:rPr>
                <w:rtl w:val="0"/>
              </w:rPr>
              <w:t xml:space="preserve"> nimetavad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g</w:t>
            </w:r>
            <w:r>
              <w:rPr>
                <w:rtl w:val="0"/>
              </w:rPr>
              <w:t xml:space="preserve">eneratiivse </w:t>
            </w:r>
            <w:r>
              <w:rPr>
                <w:rtl w:val="0"/>
              </w:rPr>
              <w:t>tehisaru</w:t>
            </w:r>
            <w:r>
              <w:rPr>
                <w:rtl w:val="0"/>
              </w:rPr>
              <w:t xml:space="preserve"> l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heks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The GenAI Divide</w:t>
            </w:r>
            <w:r>
              <w:rPr>
                <w:rtl w:val="0"/>
                <w:lang w:val="de-DE"/>
              </w:rPr>
              <w:t>). Nende raportite kohaselt eba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nnestub hetkel 95% AI pilootprojektidest skaleerimisel, sest puudub 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gav integratsioon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voogudega ja s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 xml:space="preserve">steemne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m</w:t>
            </w:r>
            <w:r>
              <w:rPr>
                <w:rtl w:val="0"/>
              </w:rPr>
              <w:t>ä</w:t>
            </w:r>
            <w:r>
              <w:rPr>
                <w:rtl w:val="0"/>
                <w:lang w:val="ru-RU"/>
              </w:rPr>
              <w:t>lu"</w:t>
            </w:r>
            <w:r>
              <w:rPr>
                <w:rtl w:val="0"/>
              </w:rPr>
              <w:t xml:space="preserve"> tehisarulahenduses</w:t>
            </w:r>
            <w:r>
              <w:rPr>
                <w:rtl w:val="0"/>
                <w:lang w:val="pt-PT"/>
              </w:rPr>
              <w:t xml:space="preserve"> [</w:t>
            </w:r>
            <w:r>
              <w:rPr>
                <w:rtl w:val="0"/>
              </w:rPr>
              <w:t>9</w:t>
            </w:r>
            <w:r>
              <w:rPr>
                <w:rtl w:val="0"/>
              </w:rPr>
              <w:t xml:space="preserve">]. Ilma riikliku sekkumiseta ja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htse orkestreerimiskihi loomiseta riskivad Eesti avalik sektor ja 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tted j</w:t>
            </w:r>
            <w:r>
              <w:rPr>
                <w:rtl w:val="0"/>
              </w:rPr>
              <w:t>ää</w:t>
            </w:r>
            <w:r>
              <w:rPr>
                <w:rtl w:val="0"/>
                <w:lang w:val="it-IT"/>
              </w:rPr>
              <w:t xml:space="preserve">da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mahaj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jate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sv-SE"/>
              </w:rPr>
              <w:t>laggards</w:t>
            </w:r>
            <w:r>
              <w:rPr>
                <w:rtl w:val="0"/>
              </w:rPr>
              <w:t>) hulka, kes eksperimenteerivad k</w:t>
            </w:r>
            <w:r>
              <w:rPr>
                <w:rtl w:val="0"/>
              </w:rPr>
              <w:t>ü</w:t>
            </w:r>
            <w:r>
              <w:rPr>
                <w:rtl w:val="0"/>
                <w:lang w:val="en-US"/>
              </w:rPr>
              <w:t xml:space="preserve">ll </w:t>
            </w:r>
            <w:r>
              <w:rPr>
                <w:rtl w:val="0"/>
              </w:rPr>
              <w:t>tehisarulahenduste</w:t>
            </w:r>
            <w:r>
              <w:rPr>
                <w:rtl w:val="0"/>
              </w:rPr>
              <w:t>ga, kuid ei suuda seda p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rata reaalseks majanduskasvuks ega tootlikkuse 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usuks [</w:t>
            </w:r>
            <w:r>
              <w:rPr>
                <w:rtl w:val="0"/>
              </w:rPr>
              <w:t>9,10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Caption"/>
              <w:bidi w:val="0"/>
            </w:pPr>
            <w:r>
              <w:rPr>
                <w:rtl w:val="0"/>
              </w:rPr>
              <w:t>Digitaalne suver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nsus ja julgeolek</w:t>
            </w:r>
          </w:p>
          <w:p>
            <w:pPr>
              <w:pStyle w:val="Body"/>
            </w:pPr>
            <w:r>
              <w:rPr>
                <w:rtl w:val="0"/>
              </w:rPr>
              <w:t xml:space="preserve">Oleme sisenemas </w:t>
            </w:r>
            <w:r>
              <w:rPr>
                <w:rtl w:val="0"/>
              </w:rPr>
              <w:t xml:space="preserve">nn </w:t>
            </w:r>
            <w:r>
              <w:rPr>
                <w:rtl w:val="0"/>
              </w:rPr>
              <w:t xml:space="preserve">agentsuse ajastusse, kus tehisaru </w:t>
            </w:r>
            <w:r>
              <w:rPr>
                <w:rtl w:val="0"/>
              </w:rPr>
              <w:t>suudab lisaks teksti genereerimisele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ita</w:t>
            </w:r>
            <w:r>
              <w:rPr>
                <w:rtl w:val="0"/>
              </w:rPr>
              <w:t xml:space="preserve"> iseseisvalt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lesandeid. Hetkel on Eestil vaja luua tehniline ja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iguslik alus</w:t>
            </w:r>
            <w:r>
              <w:rPr>
                <w:rtl w:val="0"/>
              </w:rPr>
              <w:t xml:space="preserve"> - </w:t>
            </w:r>
            <w:r>
              <w:rPr>
                <w:rtl w:val="0"/>
              </w:rPr>
              <w:t xml:space="preserve">nn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suver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nne halduskiht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Sovereign Governance Layer</w:t>
            </w:r>
            <w:r>
              <w:rPr>
                <w:rtl w:val="0"/>
              </w:rPr>
              <w:t>)</w:t>
            </w:r>
            <w:r>
              <w:rPr>
                <w:rtl w:val="0"/>
              </w:rPr>
              <w:t xml:space="preserve"> -</w:t>
            </w:r>
            <w:r>
              <w:rPr>
                <w:rtl w:val="0"/>
                <w:lang w:val="fr-FR"/>
              </w:rPr>
              <w:t>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imaldaks </w:t>
            </w:r>
            <w:r>
              <w:rPr>
                <w:rtl w:val="0"/>
              </w:rPr>
              <w:t>autonoomsetel tehisaru</w:t>
            </w:r>
            <w:r>
              <w:rPr>
                <w:rtl w:val="0"/>
              </w:rPr>
              <w:t>agentidel riigiga turvaliselt suhelda. Ilma selle kihita on oht, et riiklikud protsessid hakkavad s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ltuma globaalsetest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musta kasti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 xml:space="preserve">suletud </w:t>
            </w:r>
            <w:r>
              <w:rPr>
                <w:rtl w:val="0"/>
              </w:rPr>
              <w:t>mudelitest, mille otsustusloogika ei ole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bipaistev ega vasta meie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igusruumile [</w:t>
            </w:r>
            <w:r>
              <w:rPr>
                <w:rtl w:val="0"/>
              </w:rPr>
              <w:t>7, 13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Caption"/>
              <w:bidi w:val="0"/>
            </w:pPr>
            <w:r>
              <w:rPr>
                <w:rtl w:val="0"/>
                <w:lang w:val="de-DE"/>
              </w:rPr>
              <w:t>Ü</w:t>
            </w:r>
            <w:r>
              <w:rPr>
                <w:rtl w:val="0"/>
              </w:rPr>
              <w:t xml:space="preserve">leminek </w:t>
            </w:r>
            <w:r>
              <w:rPr>
                <w:rtl w:val="0"/>
              </w:rPr>
              <w:t>vestlevalt robotilt</w:t>
            </w:r>
            <w:r>
              <w:rPr>
                <w:rtl w:val="0"/>
              </w:rPr>
              <w:t xml:space="preserve"> tegu</w:t>
            </w:r>
            <w:r>
              <w:rPr>
                <w:rtl w:val="0"/>
              </w:rPr>
              <w:t>tsevatele autonoomsete agentideni</w:t>
            </w:r>
          </w:p>
          <w:p>
            <w:pPr>
              <w:pStyle w:val="Body"/>
            </w:pP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Tehisintellekti tegevuskava 2024-2026</w:t>
            </w:r>
            <w:r>
              <w:rPr>
                <w:rtl w:val="0"/>
              </w:rPr>
              <w:t xml:space="preserve">” </w:t>
            </w:r>
            <w:r>
              <w:rPr>
                <w:rtl w:val="0"/>
                <w:lang w:val="da-DK"/>
              </w:rPr>
              <w:t xml:space="preserve">on loonud tugeva vundamendi </w:t>
            </w:r>
            <w:r>
              <w:rPr>
                <w:rtl w:val="0"/>
              </w:rPr>
              <w:t>tehisaru</w:t>
            </w:r>
            <w:r>
              <w:rPr>
                <w:rtl w:val="0"/>
              </w:rPr>
              <w:t>ga suhtlemiseks [4], kuid OpenAI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rskeimad andmed 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itavad, et edasij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udnud kasutajad liiguvad lihtsatest p</w:t>
            </w:r>
            <w:r>
              <w:rPr>
                <w:rtl w:val="0"/>
              </w:rPr>
              <w:t>ä</w:t>
            </w:r>
            <w:r>
              <w:rPr>
                <w:rtl w:val="0"/>
                <w:lang w:val="nl-NL"/>
              </w:rPr>
              <w:t>ringutest keerukate, mitmesammuliste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voogude delegeerimise suunas [</w:t>
            </w:r>
            <w:r>
              <w:rPr>
                <w:rtl w:val="0"/>
              </w:rPr>
              <w:t>10</w:t>
            </w:r>
            <w:r>
              <w:rPr>
                <w:rtl w:val="0"/>
              </w:rPr>
              <w:t>]. Aruait on kriitiline l</w:t>
            </w:r>
            <w:r>
              <w:rPr>
                <w:rtl w:val="0"/>
              </w:rPr>
              <w:t>ü</w:t>
            </w:r>
            <w:r>
              <w:rPr>
                <w:rtl w:val="0"/>
                <w:lang w:val="fr-FR"/>
              </w:rPr>
              <w:t>li,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imaldab teha </w:t>
            </w:r>
            <w:r>
              <w:rPr>
                <w:rtl w:val="0"/>
              </w:rPr>
              <w:t>suurejoonelise arenguh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ppe, liikudes tavap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rastest vestlusroboti 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imekustest autonoomsete agentideni. 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iteks 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tte raamatupidamistarkvara agendil </w:t>
            </w:r>
            <w:r>
              <w:rPr>
                <w:rtl w:val="0"/>
              </w:rPr>
              <w:t>saab olema 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 xml:space="preserve">ime </w:t>
            </w:r>
            <w:r>
              <w:rPr>
                <w:rtl w:val="0"/>
              </w:rPr>
              <w:t xml:space="preserve">suhelda </w:t>
            </w:r>
            <w:r>
              <w:rPr>
                <w:rtl w:val="0"/>
              </w:rPr>
              <w:t>inimese/ettev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 xml:space="preserve">tte eest </w:t>
            </w:r>
            <w:r>
              <w:rPr>
                <w:rtl w:val="0"/>
              </w:rPr>
              <w:t>otse Maksu- ja Tolliameti agendiga ilma inimsekkumiseta</w:t>
            </w:r>
            <w:r>
              <w:rPr>
                <w:rtl w:val="0"/>
              </w:rPr>
              <w:t xml:space="preserve"> ja reaalajas.</w:t>
            </w:r>
          </w:p>
          <w:p>
            <w:pPr>
              <w:pStyle w:val="Caption"/>
              <w:bidi w:val="0"/>
            </w:pPr>
            <w:r>
              <w:rPr>
                <w:rtl w:val="0"/>
              </w:rPr>
              <w:t>Tehniline ja strateegiline vaakum</w:t>
            </w:r>
          </w:p>
          <w:p>
            <w:pPr>
              <w:pStyle w:val="Body"/>
            </w:pPr>
            <w:r>
              <w:rPr>
                <w:rtl w:val="0"/>
              </w:rPr>
              <w:t>“</w:t>
            </w:r>
            <w:r>
              <w:rPr>
                <w:rtl w:val="0"/>
              </w:rPr>
              <w:t>Andmete ja tehisintellekti valge raamat 2024-2030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r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hutab vajadust andmep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hise ja personaalse riigi j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rele, kuid tunnistab praeguse andmehalduse killustatust [3]. Puudub standard </w:t>
            </w:r>
            <w:r>
              <w:rPr>
                <w:rtl w:val="0"/>
              </w:rPr>
              <w:t>“</w:t>
            </w:r>
            <w:r>
              <w:rPr>
                <w:rtl w:val="0"/>
                <w:lang w:val="it-IT"/>
              </w:rPr>
              <w:t>volitatud masin-identiteedile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ja usaldusv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 xml:space="preserve">rne mehhanism, kuidas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ks masin (nt Maa- ja Ruumiameti 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steem) saaks teist masinat usaldada. See takistab Haldusmenetluse seaduse (HMS) automaatotsuste potentsiaali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ielikku rakendamist ja j</w:t>
            </w:r>
            <w:r>
              <w:rPr>
                <w:rtl w:val="0"/>
              </w:rPr>
              <w:t>ä</w:t>
            </w:r>
            <w:r>
              <w:rPr>
                <w:rtl w:val="0"/>
                <w:lang w:val="nl-NL"/>
              </w:rPr>
              <w:t>tab kasutamata TAIE teekaardis (</w:t>
            </w:r>
            <w:r>
              <w:rPr>
                <w:rtl w:val="0"/>
              </w:rPr>
              <w:t>“</w:t>
            </w:r>
            <w:r>
              <w:rPr>
                <w:rtl w:val="0"/>
                <w:lang w:val="en-US"/>
              </w:rPr>
              <w:t>Digilahendused igas eluvaldkonnas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) kirjeldatud 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riprotsesside innovatsiooni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imalused [5].</w:t>
            </w:r>
          </w:p>
          <w:p>
            <w:pPr>
              <w:pStyle w:val="Caption"/>
              <w:bidi w:val="0"/>
            </w:pPr>
            <w:r>
              <w:rPr>
                <w:rtl w:val="0"/>
              </w:rPr>
              <w:t>M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ju riigi 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hususele ja majandusele</w:t>
            </w:r>
          </w:p>
          <w:p>
            <w:pPr>
              <w:pStyle w:val="Body"/>
            </w:pPr>
            <w:r>
              <w:rPr>
                <w:rtl w:val="0"/>
                <w:lang w:val="fr-FR"/>
              </w:rPr>
              <w:t xml:space="preserve">Aruait asendab ressursimahuka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ametnik-liides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mudeli efektiivse </w:t>
            </w:r>
            <w:r>
              <w:rPr>
                <w:rtl w:val="0"/>
              </w:rPr>
              <w:t>“</w:t>
            </w:r>
            <w:r>
              <w:rPr>
                <w:rtl w:val="0"/>
                <w:lang w:val="en-US"/>
              </w:rPr>
              <w:t>agent-agent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mudeliga. BCG uuringud 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itavad, et organisatsioonid, kes suudavad </w:t>
            </w:r>
            <w:r>
              <w:rPr>
                <w:rtl w:val="0"/>
              </w:rPr>
              <w:t>tehisaru</w:t>
            </w:r>
            <w:r>
              <w:rPr>
                <w:rtl w:val="0"/>
                <w:lang w:val="en-US"/>
              </w:rPr>
              <w:t xml:space="preserve"> integreerida 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vitsi t</w:t>
            </w:r>
            <w:r>
              <w:rPr>
                <w:rtl w:val="0"/>
              </w:rPr>
              <w:t>öö</w:t>
            </w:r>
            <w:r>
              <w:rPr>
                <w:rtl w:val="0"/>
                <w:lang w:val="pt-PT"/>
              </w:rPr>
              <w:t>protsessidesse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Future-built companies</w:t>
            </w:r>
            <w:r>
              <w:rPr>
                <w:rtl w:val="0"/>
              </w:rPr>
              <w:t>), saavutavad 1,6 korda k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rgemaid marginaale ja 1,7 korda kiirema tulukasvu [8]. Riigi kontekstis t</w:t>
            </w:r>
            <w:r>
              <w:rPr>
                <w:rtl w:val="0"/>
              </w:rPr>
              <w:t>ä</w:t>
            </w:r>
            <w:r>
              <w:rPr>
                <w:rtl w:val="0"/>
                <w:lang w:val="en-US"/>
              </w:rPr>
              <w:t>hendab see rutiinsete menetluste (nt loataotlused, registrikanded) automatiseerimist. 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iteks ainu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ksi Maa- ja Ruumiameti (MaRu) haldusalas olevate k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mnete infos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steemide vahelise suhtluse automatiseerimine v</w:t>
            </w:r>
            <w:r>
              <w:rPr>
                <w:rtl w:val="0"/>
              </w:rPr>
              <w:t>ä</w:t>
            </w:r>
            <w:r>
              <w:rPr>
                <w:rtl w:val="0"/>
                <w:lang w:val="da-DK"/>
              </w:rPr>
              <w:t>hendab 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rgatavalt halduskoormust ja kiirendab menetlusi p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evadelt minutitele.</w:t>
            </w:r>
          </w:p>
          <w:p>
            <w:pPr>
              <w:pStyle w:val="Caption"/>
              <w:bidi w:val="0"/>
            </w:pPr>
            <w:r>
              <w:rPr>
                <w:rtl w:val="0"/>
              </w:rPr>
              <w:t>Sotsiaalne ja kodanikukeskne m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ju</w:t>
            </w:r>
          </w:p>
          <w:p>
            <w:pPr>
              <w:pStyle w:val="Body"/>
            </w:pPr>
            <w:r>
              <w:rPr>
                <w:rtl w:val="0"/>
              </w:rPr>
              <w:t>“</w:t>
            </w:r>
            <w:r>
              <w:rPr>
                <w:rtl w:val="0"/>
              </w:rPr>
              <w:t>Eesti 2035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siht on v</w:t>
            </w:r>
            <w:r>
              <w:rPr>
                <w:rtl w:val="0"/>
              </w:rPr>
              <w:t>ä</w:t>
            </w:r>
            <w:r>
              <w:rPr>
                <w:rtl w:val="0"/>
                <w:lang w:val="pt-PT"/>
              </w:rPr>
              <w:t>hendada b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rokraatiat ja muuta teenused proaktiivseks [2]. Aruait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imaldab kodanikul volitada oma </w:t>
            </w:r>
            <w:r>
              <w:rPr>
                <w:rtl w:val="0"/>
              </w:rPr>
              <w:t>autonoomset tehisaru</w:t>
            </w:r>
            <w:r>
              <w:rPr>
                <w:rtl w:val="0"/>
                <w:lang w:val="it-IT"/>
              </w:rPr>
              <w:t xml:space="preserve">agenti (nt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Ehitusloa agent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) ajama asju riigiga taustal, ilma et inimene peaks navigeerima keerulistes portaalides. See loob personaalse ja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htamatu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riigi kogemuse, v</w:t>
            </w:r>
            <w:r>
              <w:rPr>
                <w:rtl w:val="0"/>
              </w:rPr>
              <w:t>ä</w:t>
            </w:r>
            <w:r>
              <w:rPr>
                <w:rtl w:val="0"/>
                <w:lang w:val="pt-PT"/>
              </w:rPr>
              <w:t>hendades digil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het ja muutes riigiga suhtlemise ligip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setavamaks ka neile, kes ei ole digitaalselt kirjaoskajad, kuna agendid toimivad vahendajatena [</w:t>
            </w:r>
            <w:r>
              <w:rPr>
                <w:rtl w:val="0"/>
              </w:rPr>
              <w:t>7</w:t>
            </w:r>
            <w:r>
              <w:rPr>
                <w:rtl w:val="0"/>
                <w:lang w:val="pt-PT"/>
              </w:rPr>
              <w:t>].</w:t>
            </w:r>
          </w:p>
        </w:tc>
      </w:tr>
    </w:tbl>
    <w:p>
      <w:pPr>
        <w:pStyle w:val="Body"/>
        <w:rPr>
          <w:sz w:val="20"/>
          <w:szCs w:val="20"/>
          <w:shd w:val="clear" w:color="auto" w:fill="ffff00"/>
        </w:rPr>
      </w:pPr>
    </w:p>
    <w:p>
      <w:pPr>
        <w:pStyle w:val="Body"/>
        <w:spacing w:after="0"/>
      </w:pP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46"/>
      </w:tblGrid>
      <w:tr>
        <w:tblPrEx>
          <w:shd w:val="clear" w:color="auto" w:fill="cdd4e9"/>
        </w:tblPrEx>
        <w:trPr>
          <w:trHeight w:val="113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2. Projekti eesm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rk</w:t>
            </w:r>
          </w:p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nastage konkreetne, selge ning m</w:t>
            </w:r>
            <w:r>
              <w:rPr>
                <w:shd w:val="nil" w:color="auto" w:fill="auto"/>
                <w:rtl w:val="0"/>
                <w:lang w:val="pt-PT"/>
              </w:rPr>
              <w:t>õõ</w:t>
            </w:r>
            <w:r>
              <w:rPr>
                <w:shd w:val="nil" w:color="auto" w:fill="auto"/>
                <w:rtl w:val="0"/>
                <w:lang w:val="nl-NL"/>
              </w:rPr>
              <w:t>detav eesm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rk, mille saavutamist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 mitte saavutamist on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imalik hinnata.</w:t>
            </w:r>
          </w:p>
          <w:p>
            <w:pPr>
              <w:pStyle w:val="Body"/>
              <w:numPr>
                <w:ilvl w:val="0"/>
                <w:numId w:val="2"/>
              </w:numPr>
            </w:pPr>
            <w:r>
              <w:rPr>
                <w:shd w:val="nil" w:color="auto" w:fill="auto"/>
                <w:rtl w:val="0"/>
              </w:rPr>
              <w:t>Kirjeldage, kuidas plaanite projekti eesm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rgi saavutamist m</w:t>
            </w:r>
            <w:r>
              <w:rPr>
                <w:shd w:val="nil" w:color="auto" w:fill="auto"/>
                <w:rtl w:val="0"/>
                <w:lang w:val="pt-PT"/>
              </w:rPr>
              <w:t>õõ</w:t>
            </w:r>
            <w:r>
              <w:rPr>
                <w:shd w:val="nil" w:color="auto" w:fill="auto"/>
                <w:rtl w:val="0"/>
                <w:lang w:val="it-IT"/>
              </w:rPr>
              <w:t xml:space="preserve">ta. </w:t>
            </w:r>
          </w:p>
        </w:tc>
      </w:tr>
      <w:tr>
        <w:tblPrEx>
          <w:shd w:val="clear" w:color="auto" w:fill="cdd4e9"/>
        </w:tblPrEx>
        <w:trPr>
          <w:trHeight w:val="965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>Projekti peamine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rk on luua </w:t>
            </w:r>
            <w:r>
              <w:rPr>
                <w:b w:val="1"/>
                <w:bCs w:val="1"/>
                <w:rtl w:val="0"/>
                <w:lang w:val="fr-FR"/>
              </w:rPr>
              <w:t>Aruait</w:t>
            </w:r>
            <w:r>
              <w:rPr>
                <w:rtl w:val="0"/>
                <w:lang w:val="en-US"/>
              </w:rPr>
              <w:t xml:space="preserve"> (ingl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 xml:space="preserve">k </w:t>
            </w:r>
            <w:r>
              <w:rPr>
                <w:i w:val="1"/>
                <w:iCs w:val="1"/>
                <w:rtl w:val="0"/>
                <w:lang w:val="en-US"/>
              </w:rPr>
              <w:t>Reason Reserve</w:t>
            </w:r>
            <w:r>
              <w:rPr>
                <w:rtl w:val="0"/>
              </w:rPr>
              <w:t>): avatud l</w:t>
            </w:r>
            <w:r>
              <w:rPr>
                <w:rtl w:val="0"/>
              </w:rPr>
              <w:t>ä</w:t>
            </w:r>
            <w:r>
              <w:rPr>
                <w:rtl w:val="0"/>
                <w:lang w:val="sv-SE"/>
              </w:rPr>
              <w:t>htekoodiga suver</w:t>
            </w:r>
            <w:r>
              <w:rPr>
                <w:rtl w:val="0"/>
              </w:rPr>
              <w:t>ää</w:t>
            </w:r>
            <w:r>
              <w:rPr>
                <w:rtl w:val="0"/>
                <w:lang w:val="nl-NL"/>
              </w:rPr>
              <w:t>nne halduskiht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Sovereign Governance Layer</w:t>
            </w:r>
            <w:r>
              <w:rPr>
                <w:rtl w:val="0"/>
              </w:rPr>
              <w:t xml:space="preserve">), mis on vajalik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leminekuks seniselt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suhtlevalt riigilt</w:t>
            </w:r>
            <w:r>
              <w:rPr>
                <w:rtl w:val="0"/>
              </w:rPr>
              <w:t>”</w:t>
            </w:r>
            <w:r>
              <w:rPr>
                <w:rtl w:val="0"/>
                <w:lang w:val="fr-FR"/>
              </w:rPr>
              <w:t xml:space="preserve"> (nt B</w:t>
            </w:r>
            <w:r>
              <w:rPr>
                <w:rtl w:val="0"/>
              </w:rPr>
              <w:t>ü</w:t>
            </w:r>
            <w:r>
              <w:rPr>
                <w:rtl w:val="0"/>
                <w:lang w:val="sv-SE"/>
              </w:rPr>
              <w:t xml:space="preserve">rokratt)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toimetavale</w:t>
            </w:r>
            <w:r>
              <w:rPr>
                <w:rtl w:val="0"/>
              </w:rPr>
              <w:t>/tegumip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hisele</w:t>
            </w:r>
            <w:r>
              <w:rPr>
                <w:rtl w:val="0"/>
              </w:rPr>
              <w:t xml:space="preserve"> riigile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Agentic State</w:t>
            </w:r>
            <w:r>
              <w:rPr>
                <w:rtl w:val="0"/>
              </w:rPr>
              <w:t>). Aruait toimib riikliku orkestreerimis- ja usaldustaristuna,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it-IT"/>
              </w:rPr>
              <w:t>imaldab erinevatel infos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steemidel ja tehisaru agentidel vahetada </w:t>
            </w:r>
            <w:r>
              <w:rPr>
                <w:rtl w:val="0"/>
              </w:rPr>
              <w:t>lisaks andmetele</w:t>
            </w:r>
            <w:r>
              <w:rPr>
                <w:rtl w:val="0"/>
              </w:rPr>
              <w:t xml:space="preserve"> ka volitusi ja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lesandeid turvalises ja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sv-SE"/>
              </w:rPr>
              <w:t>iguskindlas keskkonnas [</w:t>
            </w:r>
            <w:r>
              <w:rPr>
                <w:rtl w:val="0"/>
              </w:rPr>
              <w:t>7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</w:pPr>
            <w:r>
              <w:rPr>
                <w:rtl w:val="0"/>
                <w:lang w:val="nl-NL"/>
              </w:rPr>
              <w:t>See eesm</w:t>
            </w:r>
            <w:r>
              <w:rPr>
                <w:rtl w:val="0"/>
              </w:rPr>
              <w:t>ä</w:t>
            </w:r>
            <w:r>
              <w:rPr>
                <w:rtl w:val="0"/>
                <w:lang w:val="nl-NL"/>
              </w:rPr>
              <w:t xml:space="preserve">rk toetab otseselt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Eesti 2035</w:t>
            </w:r>
            <w:r>
              <w:rPr>
                <w:rtl w:val="0"/>
              </w:rPr>
              <w:t xml:space="preserve">” </w:t>
            </w:r>
            <w:r>
              <w:rPr>
                <w:rtl w:val="0"/>
              </w:rPr>
              <w:t>strateegilist sihti muuta riigivalitsemine uuendusmeelseks, usaldusv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rseks ja inimkeskseks [1], luues tehnoloogilise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imekuse, mis on vajalik "Tehisintellekti tegevuskavas" seatud avaliku sektori efektiivsuse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rkide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itmiseks [4]. Samuti lahendab see MIT raportis kirjeldatud probleemi, kus puudulik infrastruktuur takistab AI skaleerimist ja reaalset v</w:t>
            </w:r>
            <w:r>
              <w:rPr>
                <w:rtl w:val="0"/>
              </w:rPr>
              <w:t>ää</w:t>
            </w:r>
            <w:r>
              <w:rPr>
                <w:rtl w:val="0"/>
                <w:lang w:val="nl-NL"/>
              </w:rPr>
              <w:t>rtusloomet [</w:t>
            </w:r>
            <w:r>
              <w:rPr>
                <w:rtl w:val="0"/>
              </w:rPr>
              <w:t>9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</w:pPr>
            <w:r>
              <w:rPr>
                <w:rtl w:val="0"/>
              </w:rPr>
              <w:t>Projekti edukust hinnatakse nelja konkreetse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ljundi kaudu, mis 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hinevad rahvusvahelisel parimal praktikal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GovStack</w:t>
            </w:r>
            <w:r>
              <w:rPr>
                <w:rtl w:val="0"/>
              </w:rPr>
              <w:t>) ja Eesti digiarengu prioriteetidel:</w:t>
            </w:r>
          </w:p>
          <w:p>
            <w:pPr>
              <w:pStyle w:val="Body"/>
              <w:numPr>
                <w:ilvl w:val="0"/>
                <w:numId w:val="3"/>
              </w:numPr>
            </w:pPr>
            <w:r>
              <w:rPr>
                <w:rtl w:val="0"/>
              </w:rPr>
              <w:t>“</w:t>
            </w:r>
            <w:r>
              <w:rPr>
                <w:rtl w:val="0"/>
              </w:rPr>
              <w:t>Identiteet 2.0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raamistik masinatele (</w:t>
            </w:r>
            <w:r>
              <w:rPr>
                <w:rtl w:val="0"/>
              </w:rPr>
              <w:t>v</w:t>
            </w:r>
            <w:r>
              <w:rPr>
                <w:rtl w:val="0"/>
                <w:lang w:val="en-US"/>
              </w:rPr>
              <w:t>olitatud masin-identiteet):</w:t>
            </w:r>
          </w:p>
          <w:p>
            <w:pPr>
              <w:pStyle w:val="Body"/>
              <w:numPr>
                <w:ilvl w:val="1"/>
                <w:numId w:val="3"/>
              </w:numPr>
            </w:pPr>
            <w:r>
              <w:rPr>
                <w:rtl w:val="0"/>
              </w:rPr>
              <w:t>Tulemus: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lja on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 xml:space="preserve">tatud tehniline lahendus ja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iguslikud ettepanekud,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imaldavad kodanikul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 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tjal anda AI-agendile piiratud, j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lgitava ja tagasiv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etava volituse tegutseda tema nimel.</w:t>
            </w:r>
          </w:p>
          <w:p>
            <w:pPr>
              <w:pStyle w:val="Body"/>
              <w:numPr>
                <w:ilvl w:val="1"/>
                <w:numId w:val="3"/>
              </w:numPr>
            </w:pPr>
            <w:r>
              <w:rPr>
                <w:rtl w:val="0"/>
              </w:rPr>
              <w:t>M</w:t>
            </w:r>
            <w:r>
              <w:rPr>
                <w:rtl w:val="0"/>
                <w:lang w:val="pt-PT"/>
              </w:rPr>
              <w:t>õõ</w:t>
            </w:r>
            <w:r>
              <w:rPr>
                <w:rtl w:val="0"/>
              </w:rPr>
              <w:t>dik: Valminud on protot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>p, mis suudab tuvastada ja volitada autonoomset agenti riiklikes s</w:t>
            </w:r>
            <w:r>
              <w:rPr>
                <w:rtl w:val="0"/>
              </w:rPr>
              <w:t>ü</w:t>
            </w:r>
            <w:r>
              <w:rPr>
                <w:rtl w:val="0"/>
                <w:lang w:val="en-US"/>
              </w:rPr>
              <w:t xml:space="preserve">steemides. See vastab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Andmete ja tehisintellekti valge raamatu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suunistele usaldusv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rse ja inimkeskse andmekorralduse kohta [3].</w:t>
            </w:r>
          </w:p>
          <w:p>
            <w:pPr>
              <w:pStyle w:val="Body"/>
              <w:numPr>
                <w:ilvl w:val="0"/>
                <w:numId w:val="4"/>
              </w:numPr>
            </w:pPr>
            <w:r>
              <w:rPr>
                <w:rtl w:val="0"/>
                <w:lang w:val="nl-NL"/>
              </w:rPr>
              <w:t>Avalik agentide usaldusregister (</w:t>
            </w:r>
            <w:r>
              <w:rPr>
                <w:rtl w:val="0"/>
              </w:rPr>
              <w:t xml:space="preserve">ing.k </w:t>
            </w:r>
            <w:r>
              <w:rPr>
                <w:rtl w:val="0"/>
                <w:lang w:val="en-US"/>
              </w:rPr>
              <w:t>Trust Registry):</w:t>
            </w:r>
          </w:p>
          <w:p>
            <w:pPr>
              <w:pStyle w:val="Body"/>
              <w:numPr>
                <w:ilvl w:val="1"/>
                <w:numId w:val="3"/>
              </w:numPr>
            </w:pPr>
            <w:r>
              <w:rPr>
                <w:rtl w:val="0"/>
              </w:rPr>
              <w:t>Tulemus: RIA hallatav keskne register, mis valideerib ja verifitseerib k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ik riiklikud ja erasektori agendid (nn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telefoniraamat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masinatele).</w:t>
            </w:r>
          </w:p>
          <w:p>
            <w:pPr>
              <w:pStyle w:val="Body"/>
              <w:numPr>
                <w:ilvl w:val="1"/>
                <w:numId w:val="3"/>
              </w:numPr>
            </w:pPr>
            <w:r>
              <w:rPr>
                <w:rtl w:val="0"/>
              </w:rPr>
              <w:t>M</w:t>
            </w:r>
            <w:r>
              <w:rPr>
                <w:rtl w:val="0"/>
                <w:lang w:val="pt-PT"/>
              </w:rPr>
              <w:t>õõ</w:t>
            </w:r>
            <w:r>
              <w:rPr>
                <w:rtl w:val="0"/>
              </w:rPr>
              <w:t>dik: Loodud on masinloetav register, mis tagab, et 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steemis suhtlevad vaid verifitseeritud osapooled. See on vastavuses tehnilise teekaardiga, mis </w:t>
            </w:r>
            <w:r>
              <w:rPr>
                <w:rtl w:val="0"/>
              </w:rPr>
              <w:t>paigutab</w:t>
            </w:r>
            <w:r>
              <w:rPr>
                <w:rtl w:val="0"/>
                <w:lang w:val="it-IT"/>
              </w:rPr>
              <w:t xml:space="preserve"> agentide registri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Agent Registry</w:t>
            </w:r>
            <w:r>
              <w:rPr>
                <w:rtl w:val="0"/>
                <w:lang w:val="nl-NL"/>
              </w:rPr>
              <w:t>) null-usalduse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Zero Trust</w:t>
            </w:r>
            <w:r>
              <w:rPr>
                <w:rtl w:val="0"/>
              </w:rPr>
              <w:t>) arhitektuuri nurgakiviks [</w:t>
            </w:r>
            <w:r>
              <w:rPr>
                <w:rtl w:val="0"/>
              </w:rPr>
              <w:t>8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  <w:numPr>
                <w:ilvl w:val="0"/>
                <w:numId w:val="3"/>
              </w:numPr>
            </w:pPr>
            <w:r>
              <w:rPr>
                <w:rtl w:val="0"/>
              </w:rPr>
              <w:t>T</w:t>
            </w:r>
            <w:r>
              <w:rPr>
                <w:rtl w:val="0"/>
              </w:rPr>
              <w:t>ä</w:t>
            </w:r>
            <w:r>
              <w:rPr>
                <w:rtl w:val="0"/>
                <w:lang w:val="nl-NL"/>
              </w:rPr>
              <w:t>henduslik koost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 ja standardid (MCP &amp; A2A):</w:t>
            </w:r>
          </w:p>
          <w:p>
            <w:pPr>
              <w:pStyle w:val="Body"/>
              <w:numPr>
                <w:ilvl w:val="1"/>
                <w:numId w:val="3"/>
              </w:numPr>
            </w:pPr>
            <w:r>
              <w:rPr>
                <w:rtl w:val="0"/>
              </w:rPr>
              <w:t>Tulemus: Juurutatud on kaasaegsed suhtlusprotokollid (nt Model Context Protocol</w:t>
            </w:r>
            <w:r>
              <w:rPr>
                <w:rtl w:val="0"/>
                <w:lang w:val="en-US"/>
              </w:rPr>
              <w:t xml:space="preserve"> (</w:t>
            </w:r>
            <w:r>
              <w:rPr>
                <w:rtl w:val="0"/>
                <w:lang w:val="pt-PT"/>
              </w:rPr>
              <w:t>MCP</w:t>
            </w:r>
            <w:r>
              <w:rPr>
                <w:rtl w:val="0"/>
                <w:lang w:val="en-US"/>
              </w:rPr>
              <w:t>)</w:t>
            </w:r>
            <w:r>
              <w:rPr>
                <w:rtl w:val="0"/>
              </w:rPr>
              <w:t xml:space="preserve">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i Agent-to-Agent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  <w:lang w:val="en-US"/>
              </w:rPr>
              <w:t>(</w:t>
            </w:r>
            <w:r>
              <w:rPr>
                <w:rtl w:val="0"/>
              </w:rPr>
              <w:t>A2A</w:t>
            </w:r>
            <w:r>
              <w:rPr>
                <w:rtl w:val="0"/>
                <w:lang w:val="en-US"/>
              </w:rPr>
              <w:t>)</w:t>
            </w:r>
            <w:r>
              <w:rPr>
                <w:rtl w:val="0"/>
                <w:lang w:val="fr-FR"/>
              </w:rPr>
              <w:t>),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it-IT"/>
              </w:rPr>
              <w:t xml:space="preserve">imaldavad agentidel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m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ista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reegleid ja pidada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bir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kimisi</w:t>
            </w:r>
            <w:r>
              <w:rPr>
                <w:rtl w:val="0"/>
                <w:lang w:val="en-US"/>
              </w:rPr>
              <w:t xml:space="preserve"> ja s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lmida tehinguid</w:t>
            </w:r>
            <w:r>
              <w:rPr>
                <w:rtl w:val="0"/>
                <w:lang w:val="en-US"/>
              </w:rPr>
              <w:t xml:space="preserve"> (lisaks andmete</w:t>
            </w:r>
            <w:r>
              <w:rPr>
                <w:rtl w:val="0"/>
              </w:rPr>
              <w:t xml:space="preserve"> liiguta</w:t>
            </w:r>
            <w:r>
              <w:rPr>
                <w:rtl w:val="0"/>
                <w:lang w:val="en-US"/>
              </w:rPr>
              <w:t>misele)</w:t>
            </w:r>
            <w:r>
              <w:rPr>
                <w:rtl w:val="0"/>
              </w:rPr>
              <w:t>.</w:t>
            </w:r>
          </w:p>
          <w:p>
            <w:pPr>
              <w:pStyle w:val="Body"/>
              <w:numPr>
                <w:ilvl w:val="1"/>
                <w:numId w:val="3"/>
              </w:numPr>
            </w:pPr>
            <w:r>
              <w:rPr>
                <w:rtl w:val="0"/>
              </w:rPr>
              <w:t>M</w:t>
            </w:r>
            <w:r>
              <w:rPr>
                <w:rtl w:val="0"/>
                <w:lang w:val="pt-PT"/>
              </w:rPr>
              <w:t>õõ</w:t>
            </w:r>
            <w:r>
              <w:rPr>
                <w:rtl w:val="0"/>
                <w:lang w:val="nl-NL"/>
              </w:rPr>
              <w:t>dik: Aruaida protokoll toetab standardiseeritud kavatsusep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hist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intent-based</w:t>
            </w:r>
            <w:r>
              <w:rPr>
                <w:rtl w:val="0"/>
              </w:rPr>
              <w:t>) suhtlust v</w:t>
            </w:r>
            <w:r>
              <w:rPr>
                <w:rtl w:val="0"/>
              </w:rPr>
              <w:t>ä</w:t>
            </w:r>
            <w:r>
              <w:rPr>
                <w:rtl w:val="0"/>
                <w:lang w:val="nl-NL"/>
              </w:rPr>
              <w:t>hemalt kahe erineva osapoole vahel. See toetab TAIE teekaardi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rki suurendada andmevahetuse ja koostalitusv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imekust [5].</w:t>
            </w:r>
          </w:p>
          <w:p>
            <w:pPr>
              <w:pStyle w:val="Body"/>
              <w:numPr>
                <w:ilvl w:val="0"/>
                <w:numId w:val="5"/>
              </w:numPr>
            </w:pPr>
            <w:r>
              <w:rPr>
                <w:rtl w:val="0"/>
              </w:rPr>
              <w:t>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tav pilootlahendus (MVP) Maa- ja Ruumiametiga:</w:t>
            </w:r>
          </w:p>
          <w:p>
            <w:pPr>
              <w:pStyle w:val="Body"/>
              <w:numPr>
                <w:ilvl w:val="1"/>
                <w:numId w:val="3"/>
              </w:numPr>
            </w:pPr>
            <w:r>
              <w:rPr>
                <w:rtl w:val="0"/>
              </w:rPr>
              <w:t xml:space="preserve">Tulemus: 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en-US"/>
              </w:rPr>
              <w:t>he elulise teenuse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isautomaatne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biviimine avaliku ja erasektori agendi vahel ilma inimsekkumiseta (nt detailplaneeringu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 ehitusloa menetlus).</w:t>
            </w:r>
          </w:p>
          <w:p>
            <w:pPr>
              <w:pStyle w:val="Body"/>
              <w:numPr>
                <w:ilvl w:val="1"/>
                <w:numId w:val="3"/>
              </w:numPr>
            </w:pPr>
            <w:r>
              <w:rPr>
                <w:rtl w:val="0"/>
              </w:rPr>
              <w:t>M</w:t>
            </w:r>
            <w:r>
              <w:rPr>
                <w:rtl w:val="0"/>
                <w:lang w:val="pt-PT"/>
              </w:rPr>
              <w:t>õõ</w:t>
            </w:r>
            <w:r>
              <w:rPr>
                <w:rtl w:val="0"/>
              </w:rPr>
              <w:t>dik: Pilootprojekt 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estab halduskoormuse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henemist ja menetluskiiruse kasvu, valideerides seel</w:t>
            </w:r>
            <w:r>
              <w:rPr>
                <w:rtl w:val="0"/>
              </w:rPr>
              <w:t>ä</w:t>
            </w:r>
            <w:r>
              <w:rPr>
                <w:rtl w:val="0"/>
                <w:lang w:val="it-IT"/>
              </w:rPr>
              <w:t>bi BCG raporti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idet, et AI integreerimine t</w:t>
            </w:r>
            <w:r>
              <w:rPr>
                <w:rtl w:val="0"/>
              </w:rPr>
              <w:t>öö</w:t>
            </w:r>
            <w:r>
              <w:rPr>
                <w:rtl w:val="0"/>
                <w:lang w:val="en-US"/>
              </w:rPr>
              <w:t>voogudesse (reshaping workflows) on peamine allikas tootlikkuse kasvuks [</w:t>
            </w:r>
            <w:r>
              <w:rPr>
                <w:rtl w:val="0"/>
              </w:rPr>
              <w:t>10</w:t>
            </w:r>
            <w:r>
              <w:rPr>
                <w:rtl w:val="0"/>
                <w:lang w:val="pt-PT"/>
              </w:rPr>
              <w:t>].</w:t>
            </w:r>
          </w:p>
        </w:tc>
      </w:tr>
    </w:tbl>
    <w:p>
      <w:pPr>
        <w:pStyle w:val="Body"/>
        <w:spacing w:after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46"/>
      </w:tblGrid>
      <w:tr>
        <w:tblPrEx>
          <w:shd w:val="clear" w:color="auto" w:fill="cdd4e9"/>
        </w:tblPrEx>
        <w:trPr>
          <w:trHeight w:val="185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3.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imalikud lahendussuunad (max 2 lk)</w:t>
            </w:r>
          </w:p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Kirjeldage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nl-NL"/>
              </w:rPr>
              <w:t>imalikke lahendusi ning tegevusi, millega projekti eesm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rk saavutatakse.</w:t>
            </w:r>
          </w:p>
          <w:p>
            <w:pPr>
              <w:pStyle w:val="Body"/>
              <w:numPr>
                <w:ilvl w:val="0"/>
                <w:numId w:val="6"/>
              </w:numPr>
            </w:pPr>
            <w:r>
              <w:rPr>
                <w:shd w:val="nil" w:color="auto" w:fill="auto"/>
                <w:rtl w:val="0"/>
              </w:rPr>
              <w:t>Kirjeldage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imalikke lahendussuundi, p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hjendage eelistatud lahendussuuna valikut (NB! Valitud lahendussuund ei ole siduv, see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ib projekti k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igus muutuda).</w:t>
            </w:r>
          </w:p>
          <w:p>
            <w:pPr>
              <w:pStyle w:val="Body"/>
              <w:numPr>
                <w:ilvl w:val="0"/>
                <w:numId w:val="6"/>
              </w:numPr>
            </w:pPr>
            <w:r>
              <w:rPr>
                <w:shd w:val="nil" w:color="auto" w:fill="auto"/>
                <w:rtl w:val="0"/>
                <w:lang w:val="nl-NL"/>
              </w:rPr>
              <w:t xml:space="preserve">Kirjeldage probleemi lahendamiseks vajalikke tegevusi, mida antud katseprojekti raames plaanitakse teha. </w:t>
            </w:r>
          </w:p>
          <w:p>
            <w:pPr>
              <w:pStyle w:val="Body"/>
              <w:numPr>
                <w:ilvl w:val="0"/>
                <w:numId w:val="6"/>
              </w:numPr>
            </w:pPr>
            <w:r>
              <w:rPr>
                <w:shd w:val="nil" w:color="auto" w:fill="auto"/>
                <w:rtl w:val="0"/>
              </w:rPr>
              <w:t>Selgitage, kuidas lahendust katsetatakse. Selgitage, kuidas l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bi viidavat katsetust ja selle edukust hindate.</w:t>
            </w:r>
          </w:p>
        </w:tc>
      </w:tr>
      <w:tr>
        <w:tblPrEx>
          <w:shd w:val="clear" w:color="auto" w:fill="cdd4e9"/>
        </w:tblPrEx>
        <w:trPr>
          <w:trHeight w:val="1085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>Eelistatud suund: H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briidne ja hajutatud multi-agent s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 xml:space="preserve">steem (ingl k </w:t>
            </w:r>
            <w:r>
              <w:rPr>
                <w:i w:val="1"/>
                <w:iCs w:val="1"/>
                <w:rtl w:val="0"/>
                <w:lang w:val="en-US"/>
              </w:rPr>
              <w:t xml:space="preserve">Multi-Agent System </w:t>
            </w:r>
            <w:r>
              <w:rPr>
                <w:i w:val="1"/>
                <w:iCs w:val="1"/>
                <w:rtl w:val="0"/>
              </w:rPr>
              <w:t>(</w:t>
            </w:r>
            <w:r>
              <w:rPr>
                <w:i w:val="1"/>
                <w:iCs w:val="1"/>
                <w:rtl w:val="0"/>
              </w:rPr>
              <w:t>MAS</w:t>
            </w:r>
            <w:r>
              <w:rPr>
                <w:i w:val="1"/>
                <w:iCs w:val="1"/>
                <w:rtl w:val="0"/>
              </w:rPr>
              <w:t>)</w:t>
            </w:r>
            <w:r>
              <w:rPr>
                <w:rtl w:val="0"/>
              </w:rPr>
              <w:t>).</w:t>
            </w:r>
          </w:p>
          <w:p>
            <w:pPr>
              <w:pStyle w:val="Body"/>
            </w:pPr>
            <w:r>
              <w:rPr>
                <w:rtl w:val="0"/>
              </w:rPr>
              <w:t xml:space="preserve">Me ei ehita tsentraalset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super-tehisintellekti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, vaid loome hajutatud arhitektuuri, kus andmed ja otsustusprotsessid on hallatud </w:t>
            </w:r>
            <w:r>
              <w:rPr>
                <w:rtl w:val="0"/>
              </w:rPr>
              <w:t xml:space="preserve">autonoomsete agentide </w:t>
            </w:r>
            <w:r>
              <w:rPr>
                <w:rtl w:val="0"/>
                <w:lang w:val="nl-NL"/>
              </w:rPr>
              <w:t>poolt, kuid koordineeritud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bi keskse usalduskihi. See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henemine 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de-DE"/>
              </w:rPr>
              <w:t xml:space="preserve">hineb </w:t>
            </w:r>
            <w:r>
              <w:rPr>
                <w:rtl w:val="0"/>
              </w:rPr>
              <w:t>“</w:t>
            </w:r>
            <w:r>
              <w:rPr>
                <w:i w:val="1"/>
                <w:iCs w:val="1"/>
                <w:rtl w:val="0"/>
                <w:lang w:val="en-US"/>
              </w:rPr>
              <w:t>Agentic State</w:t>
            </w:r>
            <w:r>
              <w:rPr>
                <w:i w:val="1"/>
                <w:iCs w:val="1"/>
                <w:rtl w:val="0"/>
              </w:rPr>
              <w:t>”</w:t>
            </w:r>
            <w:r>
              <w:rPr>
                <w:rtl w:val="0"/>
              </w:rPr>
              <w:t xml:space="preserve"> visioonil ja on koosk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las riikliku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Valge raamatu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suunistega hajutatud andmehaldusest [3, </w:t>
            </w:r>
            <w:r>
              <w:rPr>
                <w:rtl w:val="0"/>
              </w:rPr>
              <w:t>7</w:t>
            </w:r>
            <w:r>
              <w:rPr>
                <w:rtl w:val="0"/>
              </w:rPr>
              <w:t>]. Lahendus koosneb neljast 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de-DE"/>
              </w:rPr>
              <w:t>hikomponendist:</w:t>
            </w:r>
          </w:p>
          <w:p>
            <w:pPr>
              <w:pStyle w:val="Body"/>
              <w:numPr>
                <w:ilvl w:val="0"/>
                <w:numId w:val="7"/>
              </w:numPr>
            </w:pPr>
            <w:r>
              <w:rPr>
                <w:rtl w:val="0"/>
              </w:rPr>
              <w:t>Keskne orkestreerimiskiht (ingl k GovStack Orchestration Layer): Loome standardiseeritud protokolli (edasiarendus X-teest),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imaldab agentidel turvaliselt suhelda,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lesandeid vahetada ja tehinguid s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lmida. See toimib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postiteenusena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riiklike ja erasektori agentide vahel, tagades koostalitusv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 ja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ltides tarnija lukku (ingl</w:t>
            </w:r>
            <w:r>
              <w:rPr>
                <w:rtl w:val="0"/>
              </w:rPr>
              <w:t>.</w:t>
            </w:r>
            <w:r>
              <w:rPr>
                <w:rtl w:val="0"/>
                <w:lang w:val="en-US"/>
              </w:rPr>
              <w:t>k vendor lock-in) [</w:t>
            </w:r>
            <w:r>
              <w:rPr>
                <w:rtl w:val="0"/>
              </w:rPr>
              <w:t>4, 8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  <w:numPr>
                <w:ilvl w:val="0"/>
                <w:numId w:val="7"/>
              </w:numPr>
            </w:pPr>
            <w:r>
              <w:rPr>
                <w:rtl w:val="0"/>
              </w:rPr>
              <w:t>Andmete ja teadmiste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rk (ingl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 xml:space="preserve">k </w:t>
            </w:r>
            <w:r>
              <w:rPr>
                <w:i w:val="1"/>
                <w:iCs w:val="1"/>
                <w:rtl w:val="0"/>
                <w:lang w:val="en-US"/>
              </w:rPr>
              <w:t>Data Mesh &amp; Knowledge Graph</w:t>
            </w:r>
            <w:r>
              <w:rPr>
                <w:rtl w:val="0"/>
                <w:lang w:val="es-ES_tradnl"/>
              </w:rPr>
              <w:t xml:space="preserve">): Selle asemel, et koondada andmeid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hte kohta,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it-IT"/>
              </w:rPr>
              <w:t>imaldame agentidel ligip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su hajutatud andmetele (</w:t>
            </w:r>
            <w:r>
              <w:rPr>
                <w:rtl w:val="0"/>
              </w:rPr>
              <w:t xml:space="preserve">ingl.k </w:t>
            </w:r>
            <w:r>
              <w:rPr>
                <w:i w:val="1"/>
                <w:iCs w:val="1"/>
                <w:rtl w:val="0"/>
                <w:lang w:val="nl-NL"/>
              </w:rPr>
              <w:t>Data Mesh</w:t>
            </w:r>
            <w:r>
              <w:rPr>
                <w:rtl w:val="0"/>
              </w:rPr>
              <w:t>)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bi turvaliste liideste. Kasutame masinloetavat teadmusbaasi, et kirjeldada teenuseid ja reegleid nii, et agendid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m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istaksid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konteksti</w:t>
            </w:r>
            <w:r>
              <w:rPr>
                <w:rtl w:val="0"/>
              </w:rPr>
              <w:t xml:space="preserve"> ja otsustusprotsesside sisu</w:t>
            </w:r>
            <w:r>
              <w:rPr>
                <w:rtl w:val="0"/>
                <w:lang w:val="en-US"/>
              </w:rPr>
              <w:t>. See tagab, et otsused on tagantj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rele selgitatavad ja auditeeritavad, vastates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Tehisintellekti tegevuskava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n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uetele usaldusv</w:t>
            </w:r>
            <w:r>
              <w:rPr>
                <w:rtl w:val="0"/>
              </w:rPr>
              <w:t>ää</w:t>
            </w:r>
            <w:r>
              <w:rPr>
                <w:rtl w:val="0"/>
                <w:lang w:val="es-ES_tradnl"/>
              </w:rPr>
              <w:t>rse AI osas [4].</w:t>
            </w:r>
            <w:r>
              <w:rPr>
                <w:rtl w:val="0"/>
              </w:rPr>
              <w:t xml:space="preserve"> Andmed on segmenteeritud ning privaatsete riigiprotsesside kirjeldamine on 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imalik isiku-, asutuse- 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 ettev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ttep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hiselt.</w:t>
            </w:r>
          </w:p>
          <w:p>
            <w:pPr>
              <w:pStyle w:val="Body"/>
              <w:numPr>
                <w:ilvl w:val="0"/>
                <w:numId w:val="7"/>
              </w:numPr>
            </w:pPr>
            <w:r>
              <w:rPr>
                <w:rtl w:val="0"/>
              </w:rPr>
              <w:t>Usaldus- ja identiteediregister (ingl</w:t>
            </w:r>
            <w:r>
              <w:rPr>
                <w:rtl w:val="0"/>
              </w:rPr>
              <w:t>.k</w:t>
            </w:r>
            <w:r>
              <w:rPr>
                <w:rtl w:val="0"/>
              </w:rPr>
              <w:t xml:space="preserve"> </w:t>
            </w:r>
            <w:r>
              <w:rPr>
                <w:i w:val="1"/>
                <w:iCs w:val="1"/>
                <w:rtl w:val="0"/>
                <w:lang w:val="en-US"/>
              </w:rPr>
              <w:t>Agent Registry</w:t>
            </w:r>
            <w:r>
              <w:rPr>
                <w:rtl w:val="0"/>
              </w:rPr>
              <w:t xml:space="preserve">): Loome keskse, masinloetava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telefoniraamatu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 xml:space="preserve">ehk </w:t>
            </w:r>
            <w:r>
              <w:rPr>
                <w:rtl w:val="0"/>
              </w:rPr>
              <w:t xml:space="preserve">registri, kus iga tegutsev agent on verifitseeritud ja omab kindlat volitust (nt </w:t>
            </w:r>
            <w:r>
              <w:rPr>
                <w:rtl w:val="0"/>
              </w:rPr>
              <w:t>“</w:t>
            </w:r>
            <w:r>
              <w:rPr>
                <w:rtl w:val="0"/>
                <w:lang w:val="en-US"/>
              </w:rPr>
              <w:t>See agent on volitatud esitama k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ibedeklaratsiooni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>). See on null-usalduse (ingl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 xml:space="preserve">k </w:t>
            </w:r>
            <w:r>
              <w:rPr>
                <w:i w:val="1"/>
                <w:iCs w:val="1"/>
                <w:rtl w:val="0"/>
                <w:lang w:val="en-US"/>
              </w:rPr>
              <w:t>Zero Trust</w:t>
            </w:r>
            <w:r>
              <w:rPr>
                <w:rtl w:val="0"/>
              </w:rPr>
              <w:t>) arhitektuuri nurgakivi, mida toetab MIT tehniline anal</w:t>
            </w:r>
            <w:r>
              <w:rPr>
                <w:rtl w:val="0"/>
              </w:rPr>
              <w:t>üü</w:t>
            </w:r>
            <w:r>
              <w:rPr>
                <w:rtl w:val="0"/>
                <w:lang w:val="pt-PT"/>
              </w:rPr>
              <w:t>s [</w:t>
            </w:r>
            <w:r>
              <w:rPr>
                <w:rtl w:val="0"/>
              </w:rPr>
              <w:t>9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  <w:numPr>
                <w:ilvl w:val="0"/>
                <w:numId w:val="7"/>
              </w:numPr>
            </w:pPr>
            <w:r>
              <w:rPr>
                <w:rtl w:val="0"/>
              </w:rPr>
              <w:t>H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briidne arvutusv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imsus (ingl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 xml:space="preserve">k </w:t>
            </w:r>
            <w:r>
              <w:rPr>
                <w:i w:val="1"/>
                <w:iCs w:val="1"/>
                <w:rtl w:val="0"/>
                <w:lang w:val="de-DE"/>
              </w:rPr>
              <w:t>Sovereign Compute Core</w:t>
            </w:r>
            <w:r>
              <w:rPr>
                <w:rtl w:val="0"/>
              </w:rPr>
              <w:t>): Tundlike riiklike mudelite treenimiseks ja jooksutamiseks kasutame suver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nset riigipilve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 kohalikku taristut, samas kui v</w:t>
            </w:r>
            <w:r>
              <w:rPr>
                <w:rtl w:val="0"/>
              </w:rPr>
              <w:t>ä</w:t>
            </w:r>
            <w:r>
              <w:rPr>
                <w:rtl w:val="0"/>
                <w:lang w:val="en-US"/>
              </w:rPr>
              <w:t>hemkriitilised osad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ivad toimida avalikes pilvedes</w:t>
            </w:r>
            <w:r>
              <w:rPr>
                <w:rtl w:val="0"/>
              </w:rPr>
              <w:t xml:space="preserve"> (nt Amazon AWS)</w:t>
            </w:r>
            <w:r>
              <w:rPr>
                <w:rtl w:val="0"/>
              </w:rPr>
              <w:t>. See on koosk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las TAIE teekaardiga, mis r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hutab vajadust kohaliku arvutusv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imekuse ja k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berturvalisuse j</w:t>
            </w:r>
            <w:r>
              <w:rPr>
                <w:rtl w:val="0"/>
              </w:rPr>
              <w:t>ä</w:t>
            </w:r>
            <w:r>
              <w:rPr>
                <w:rtl w:val="0"/>
                <w:lang w:val="en-US"/>
              </w:rPr>
              <w:t>rele [5].</w:t>
            </w:r>
          </w:p>
          <w:p>
            <w:pPr>
              <w:pStyle w:val="Body"/>
            </w:pPr>
            <w:r>
              <w:rPr>
                <w:rtl w:val="0"/>
              </w:rPr>
              <w:t>Tegevuskava on jaotatud kolme etappi, j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rgides agiilset ja iteratiivset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henemist:</w:t>
            </w:r>
          </w:p>
          <w:p>
            <w:pPr>
              <w:pStyle w:val="Body"/>
              <w:numPr>
                <w:ilvl w:val="0"/>
                <w:numId w:val="8"/>
              </w:numPr>
            </w:pPr>
            <w:r>
              <w:rPr>
                <w:rtl w:val="0"/>
                <w:lang w:val="nl-NL"/>
              </w:rPr>
              <w:t xml:space="preserve">I etapp </w:t>
            </w:r>
            <w:r>
              <w:rPr>
                <w:rtl w:val="0"/>
              </w:rPr>
              <w:t>- a</w:t>
            </w:r>
            <w:r>
              <w:rPr>
                <w:rtl w:val="0"/>
              </w:rPr>
              <w:t>nal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>s ja standardimine (</w:t>
            </w:r>
            <w:r>
              <w:rPr>
                <w:rtl w:val="0"/>
              </w:rPr>
              <w:t>k</w:t>
            </w:r>
            <w:r>
              <w:rPr>
                <w:rtl w:val="0"/>
              </w:rPr>
              <w:t>uud 1-6): M</w:t>
            </w:r>
            <w:r>
              <w:rPr>
                <w:rtl w:val="0"/>
              </w:rPr>
              <w:t>ää</w:t>
            </w:r>
            <w:r>
              <w:rPr>
                <w:rtl w:val="0"/>
                <w:lang w:val="en-US"/>
              </w:rPr>
              <w:t xml:space="preserve">ratleme tehnilised standardid (nt </w:t>
            </w:r>
            <w:r>
              <w:rPr>
                <w:i w:val="1"/>
                <w:iCs w:val="1"/>
                <w:rtl w:val="0"/>
                <w:lang w:val="it-IT"/>
              </w:rPr>
              <w:t xml:space="preserve">Model Context Protocol </w:t>
            </w:r>
            <w:r>
              <w:rPr>
                <w:i w:val="1"/>
                <w:iCs w:val="1"/>
                <w:rtl w:val="0"/>
              </w:rPr>
              <w:t>(</w:t>
            </w:r>
            <w:r>
              <w:rPr>
                <w:i w:val="1"/>
                <w:iCs w:val="1"/>
                <w:rtl w:val="0"/>
                <w:lang w:val="pt-PT"/>
              </w:rPr>
              <w:t>MCP</w:t>
            </w:r>
            <w:r>
              <w:rPr>
                <w:i w:val="1"/>
                <w:iCs w:val="1"/>
                <w:rtl w:val="0"/>
              </w:rPr>
              <w:t>)</w:t>
            </w:r>
            <w:r>
              <w:rPr>
                <w:rtl w:val="0"/>
              </w:rPr>
              <w:t xml:space="preserve"> ja </w:t>
            </w:r>
            <w:r>
              <w:rPr>
                <w:i w:val="1"/>
                <w:iCs w:val="1"/>
                <w:rtl w:val="0"/>
                <w:lang w:val="en-US"/>
              </w:rPr>
              <w:t xml:space="preserve">Agent-to-Agent </w:t>
            </w:r>
            <w:r>
              <w:rPr>
                <w:i w:val="1"/>
                <w:iCs w:val="1"/>
                <w:rtl w:val="0"/>
              </w:rPr>
              <w:t>(</w:t>
            </w:r>
            <w:r>
              <w:rPr>
                <w:i w:val="1"/>
                <w:iCs w:val="1"/>
                <w:rtl w:val="0"/>
              </w:rPr>
              <w:t>A2A</w:t>
            </w:r>
            <w:r>
              <w:rPr>
                <w:i w:val="1"/>
                <w:iCs w:val="1"/>
                <w:rtl w:val="0"/>
              </w:rPr>
              <w:t>)</w:t>
            </w:r>
            <w:r>
              <w:rPr>
                <w:rtl w:val="0"/>
                <w:lang w:val="fr-FR"/>
              </w:rPr>
              <w:t>),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it-IT"/>
              </w:rPr>
              <w:t>imaldavad agentidel omavahel suhelda</w:t>
            </w:r>
            <w:r>
              <w:rPr>
                <w:rtl w:val="0"/>
              </w:rPr>
              <w:t xml:space="preserve"> ning tehinguid s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lmida</w:t>
            </w:r>
            <w:r>
              <w:rPr>
                <w:rtl w:val="0"/>
                <w:lang w:val="pt-PT"/>
              </w:rPr>
              <w:t xml:space="preserve"> [</w:t>
            </w:r>
            <w:r>
              <w:rPr>
                <w:rtl w:val="0"/>
              </w:rPr>
              <w:t>8</w:t>
            </w:r>
            <w:r>
              <w:rPr>
                <w:rtl w:val="0"/>
              </w:rPr>
              <w:t>]. Viime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bi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igusliku anal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 xml:space="preserve">si volitatud masin-identiteedi rakendamiseks, tuginedes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Eesti 2035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tegevuskava digip</w:t>
            </w:r>
            <w:r>
              <w:rPr>
                <w:rtl w:val="0"/>
              </w:rPr>
              <w:t>öö</w:t>
            </w:r>
            <w:r>
              <w:rPr>
                <w:rtl w:val="0"/>
                <w:lang w:val="nl-NL"/>
              </w:rPr>
              <w:t>rete eesm</w:t>
            </w:r>
            <w:r>
              <w:rPr>
                <w:rtl w:val="0"/>
              </w:rPr>
              <w:t>ä</w:t>
            </w:r>
            <w:r>
              <w:rPr>
                <w:rtl w:val="0"/>
                <w:lang w:val="pt-PT"/>
              </w:rPr>
              <w:t>rkidele [2]</w:t>
            </w:r>
            <w:r>
              <w:rPr>
                <w:rtl w:val="0"/>
              </w:rPr>
              <w:t xml:space="preserve"> ning ettevalmistatud HMS muudatus</w:t>
            </w:r>
            <w:r>
              <w:rPr>
                <w:rtl w:val="0"/>
              </w:rPr>
              <w:t>, mil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 xml:space="preserve">ega tekib riigil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igus haldusaktide automaatseks andmiseks.</w:t>
            </w:r>
          </w:p>
          <w:p>
            <w:pPr>
              <w:pStyle w:val="Body"/>
              <w:numPr>
                <w:ilvl w:val="0"/>
                <w:numId w:val="8"/>
              </w:numPr>
            </w:pPr>
            <w:r>
              <w:rPr>
                <w:rtl w:val="0"/>
                <w:lang w:val="nl-NL"/>
              </w:rPr>
              <w:t xml:space="preserve">II etapp </w:t>
            </w:r>
            <w:r>
              <w:rPr>
                <w:rtl w:val="0"/>
              </w:rPr>
              <w:t xml:space="preserve">- </w:t>
            </w:r>
            <w:r>
              <w:rPr>
                <w:rtl w:val="0"/>
              </w:rPr>
              <w:t>MVP ja registri loomine (</w:t>
            </w:r>
            <w:r>
              <w:rPr>
                <w:rtl w:val="0"/>
              </w:rPr>
              <w:t>k</w:t>
            </w:r>
            <w:r>
              <w:rPr>
                <w:rtl w:val="0"/>
              </w:rPr>
              <w:t>uud 7-16): Arendame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lja agentide registri ja orkestreerimiskihi protot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 xml:space="preserve">bi. Loome esimesed testagendid suletud keskkonnas (nt Maa- ja Ruumiameti menetluste jaoks), mis suudavad vahetada struktureeritud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lesandeid</w:t>
            </w:r>
            <w:r>
              <w:rPr>
                <w:rtl w:val="0"/>
              </w:rPr>
              <w:t xml:space="preserve"> ja neid ka ellu viia</w:t>
            </w:r>
            <w:r>
              <w:rPr>
                <w:rtl w:val="0"/>
              </w:rPr>
              <w:t>.</w:t>
            </w:r>
          </w:p>
          <w:p>
            <w:pPr>
              <w:pStyle w:val="Body"/>
              <w:numPr>
                <w:ilvl w:val="0"/>
                <w:numId w:val="8"/>
              </w:numPr>
            </w:pPr>
            <w:r>
              <w:rPr>
                <w:rtl w:val="0"/>
                <w:lang w:val="nl-NL"/>
              </w:rPr>
              <w:t xml:space="preserve">III etapp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pi</w:t>
            </w:r>
            <w:r>
              <w:rPr>
                <w:rtl w:val="0"/>
                <w:lang w:val="nl-NL"/>
              </w:rPr>
              <w:t>loot (</w:t>
            </w:r>
            <w:r>
              <w:rPr>
                <w:rtl w:val="0"/>
              </w:rPr>
              <w:t>k</w:t>
            </w:r>
            <w:r>
              <w:rPr>
                <w:rtl w:val="0"/>
              </w:rPr>
              <w:t>uud 17-24): Viime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bi reaalelulise piloodi (nt automaatne ehitusloa menetlus), kus </w:t>
            </w:r>
            <w:r>
              <w:rPr>
                <w:rtl w:val="0"/>
              </w:rPr>
              <w:t>(nt B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rokratt) </w:t>
            </w:r>
            <w:r>
              <w:rPr>
                <w:rtl w:val="0"/>
              </w:rPr>
              <w:t xml:space="preserve">agent suhtleb </w:t>
            </w:r>
            <w:r>
              <w:rPr>
                <w:rtl w:val="0"/>
              </w:rPr>
              <w:t>MaRu</w:t>
            </w:r>
            <w:r>
              <w:rPr>
                <w:rtl w:val="0"/>
              </w:rPr>
              <w:t xml:space="preserve"> agendiga. Testime lahenduse turvalisust, j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udlust ja vastavust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Eesti 2035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rkidele (b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rokraatia v</w:t>
            </w:r>
            <w:r>
              <w:rPr>
                <w:rtl w:val="0"/>
              </w:rPr>
              <w:t>ä</w:t>
            </w:r>
            <w:r>
              <w:rPr>
                <w:rtl w:val="0"/>
                <w:lang w:val="de-DE"/>
              </w:rPr>
              <w:t>hendamine) [1].</w:t>
            </w:r>
          </w:p>
          <w:p>
            <w:pPr>
              <w:pStyle w:val="Body"/>
            </w:pPr>
            <w:r>
              <w:rPr>
                <w:rtl w:val="0"/>
              </w:rPr>
              <w:t xml:space="preserve">Katsetamine toimub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liivakasti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him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ttel, eraldatuna kriitilistest too</w:t>
            </w:r>
            <w:r>
              <w:rPr>
                <w:rtl w:val="0"/>
              </w:rPr>
              <w:t>dangu</w:t>
            </w:r>
            <w:r>
              <w:rPr>
                <w:rtl w:val="0"/>
              </w:rPr>
              <w:t>s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steemidest</w:t>
            </w:r>
            <w:r>
              <w:rPr>
                <w:rtl w:val="0"/>
              </w:rPr>
              <w:t xml:space="preserve"> (ing.k </w:t>
            </w:r>
            <w:r>
              <w:rPr>
                <w:i w:val="1"/>
                <w:iCs w:val="1"/>
                <w:rtl w:val="0"/>
              </w:rPr>
              <w:t>production system</w:t>
            </w:r>
            <w:r>
              <w:rPr>
                <w:rtl w:val="0"/>
              </w:rPr>
              <w:t>)</w:t>
            </w:r>
            <w:r>
              <w:rPr>
                <w:rtl w:val="0"/>
                <w:lang w:val="nl-NL"/>
              </w:rPr>
              <w:t>, kuid kasutades realistlikke andmeid (v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 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nteetilisi andmeid, nagu soovitab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Valge raamat</w:t>
            </w:r>
            <w:r>
              <w:rPr>
                <w:rtl w:val="0"/>
              </w:rPr>
              <w:t>”</w:t>
            </w:r>
            <w:r>
              <w:rPr>
                <w:rtl w:val="0"/>
                <w:lang w:val="pt-PT"/>
              </w:rPr>
              <w:t xml:space="preserve"> [3]).</w:t>
            </w:r>
          </w:p>
          <w:p>
            <w:pPr>
              <w:pStyle w:val="Body"/>
            </w:pPr>
            <w:r>
              <w:rPr>
                <w:rtl w:val="0"/>
              </w:rPr>
              <w:t>Edu kriteeriumid 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hinevad BCG ja MIT raportite m</w:t>
            </w:r>
            <w:r>
              <w:rPr>
                <w:rtl w:val="0"/>
                <w:lang w:val="pt-PT"/>
              </w:rPr>
              <w:t>õõ</w:t>
            </w:r>
            <w:r>
              <w:rPr>
                <w:rtl w:val="0"/>
              </w:rPr>
              <w:t>dikutel [9</w:t>
            </w:r>
            <w:r>
              <w:rPr>
                <w:rtl w:val="0"/>
              </w:rPr>
              <w:t>, 10</w:t>
            </w:r>
            <w:r>
              <w:rPr>
                <w:rtl w:val="0"/>
                <w:lang w:val="pt-PT"/>
              </w:rPr>
              <w:t>]:</w:t>
            </w:r>
          </w:p>
          <w:p>
            <w:pPr>
              <w:pStyle w:val="Body"/>
              <w:numPr>
                <w:ilvl w:val="0"/>
                <w:numId w:val="9"/>
              </w:numPr>
            </w:pPr>
            <w:r>
              <w:rPr>
                <w:rtl w:val="0"/>
                <w:lang w:val="en-US"/>
              </w:rPr>
              <w:t>Autonoomsuse m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r: Mitu % protsessist suudavad agendid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bida ilma inimese sekkumiseta? (Eesm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rk: &gt;90% rutiinsetest sammudest).</w:t>
            </w:r>
          </w:p>
          <w:p>
            <w:pPr>
              <w:pStyle w:val="Body"/>
              <w:numPr>
                <w:ilvl w:val="0"/>
                <w:numId w:val="7"/>
              </w:numPr>
            </w:pPr>
            <w:r>
              <w:rPr>
                <w:rtl w:val="0"/>
              </w:rPr>
              <w:t>Menetluskiirus: Kui palju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heneb aeg taotluse esitamisest otsuseni? (Eesm</w:t>
            </w:r>
            <w:r>
              <w:rPr>
                <w:rtl w:val="0"/>
              </w:rPr>
              <w:t>ä</w:t>
            </w:r>
            <w:r>
              <w:rPr>
                <w:rtl w:val="0"/>
                <w:lang w:val="fr-FR"/>
              </w:rPr>
              <w:t>rk: p</w:t>
            </w:r>
            <w:r>
              <w:rPr>
                <w:rtl w:val="0"/>
              </w:rPr>
              <w:t>ä</w:t>
            </w:r>
            <w:r>
              <w:rPr>
                <w:rtl w:val="0"/>
                <w:lang w:val="nl-NL"/>
              </w:rPr>
              <w:t>evadelt minutitele).</w:t>
            </w:r>
          </w:p>
          <w:p>
            <w:pPr>
              <w:pStyle w:val="Body"/>
              <w:numPr>
                <w:ilvl w:val="0"/>
                <w:numId w:val="7"/>
              </w:numPr>
            </w:pPr>
            <w:r>
              <w:rPr>
                <w:rtl w:val="0"/>
                <w:lang w:val="nl-NL"/>
              </w:rPr>
              <w:t>Usaldusv</w:t>
            </w:r>
            <w:r>
              <w:rPr>
                <w:rtl w:val="0"/>
              </w:rPr>
              <w:t>ää</w:t>
            </w:r>
            <w:r>
              <w:rPr>
                <w:rtl w:val="0"/>
                <w:lang w:val="de-DE"/>
              </w:rPr>
              <w:t>rsus: Kas k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ik agendi toimingud on logitud, auditeeritavad ja vastavad reeglitele? (Eesm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rk: 100% auditeeritavus).</w:t>
            </w:r>
          </w:p>
        </w:tc>
      </w:tr>
    </w:tbl>
    <w:p>
      <w:pPr>
        <w:pStyle w:val="Body"/>
        <w:spacing w:after="0"/>
      </w:pPr>
    </w:p>
    <w:p>
      <w:pPr>
        <w:pStyle w:val="Body"/>
        <w:spacing w:after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46"/>
      </w:tblGrid>
      <w:tr>
        <w:tblPrEx>
          <w:shd w:val="clear" w:color="auto" w:fill="cdd4e9"/>
        </w:tblPrEx>
        <w:trPr>
          <w:trHeight w:val="149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4. Projekti uuenduslikkus</w:t>
            </w:r>
          </w:p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Tuua selgelt v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lja projekti uuenduslikkus 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hd w:val="nil" w:color="auto" w:fill="auto"/>
                <w:rtl w:val="0"/>
              </w:rPr>
              <w:t>mida tehakse senisest teisiti kas see h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lmab uusi tehnoloogiaid, protsesse, toimemudeleid, disaini, turgu vms?</w:t>
            </w:r>
          </w:p>
          <w:p>
            <w:pPr>
              <w:pStyle w:val="Body"/>
              <w:numPr>
                <w:ilvl w:val="0"/>
                <w:numId w:val="10"/>
              </w:numPr>
            </w:pPr>
            <w:r>
              <w:rPr>
                <w:shd w:val="nil" w:color="auto" w:fill="auto"/>
                <w:rtl w:val="0"/>
              </w:rPr>
              <w:t>Selgitage lahenduse uuenduslikkust nii Eesti kui globaalses kontekstis.</w:t>
            </w:r>
          </w:p>
          <w:p>
            <w:pPr>
              <w:pStyle w:val="Body"/>
              <w:numPr>
                <w:ilvl w:val="0"/>
                <w:numId w:val="10"/>
              </w:numPr>
            </w:pPr>
            <w:r>
              <w:rPr>
                <w:shd w:val="nil" w:color="auto" w:fill="auto"/>
                <w:rtl w:val="0"/>
              </w:rPr>
              <w:t>Mis on projektis sellist, mis vajab katsetamist?</w:t>
            </w:r>
          </w:p>
        </w:tc>
      </w:tr>
      <w:tr>
        <w:tblPrEx>
          <w:shd w:val="clear" w:color="auto" w:fill="cdd4e9"/>
        </w:tblPrEx>
        <w:trPr>
          <w:trHeight w:val="937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aption"/>
              <w:bidi w:val="0"/>
            </w:pPr>
            <w:r>
              <w:rPr>
                <w:rtl w:val="0"/>
                <w:lang w:val="nl-NL"/>
              </w:rPr>
              <w:t>Andmevahetuselt tegevuste delegeerimisele</w:t>
            </w:r>
          </w:p>
          <w:p>
            <w:pPr>
              <w:pStyle w:val="Body"/>
            </w:pPr>
            <w:r>
              <w:rPr>
                <w:rtl w:val="0"/>
              </w:rPr>
              <w:t>Kui senised e-riigi lahendused (nt X-tee) on keskendunud andmete turvalisele liigutamisele, siis Aruait teeb fundamentaalse h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ppe tegevuste delegeerimisele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delegation of tasks</w:t>
            </w:r>
            <w:r>
              <w:rPr>
                <w:rtl w:val="0"/>
              </w:rPr>
              <w:t>). Esimest korda luuakse riiklik standard ja taristu,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imaldab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hel infos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steemil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  <w:lang w:val="pt-PT"/>
              </w:rPr>
              <w:t>volitada teist s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 xml:space="preserve">steemi sooritama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iguslikult siduvaid toiminguid (nt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Algata ehitusloa menetlus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Esita majandusaasta aruanne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) ilma inimese vahelesekkumiseta. See on 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leminek protsessip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hiselt b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rokraatialt tulemusp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hisele valitsemisele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outcome-driven governance</w:t>
            </w:r>
            <w:r>
              <w:rPr>
                <w:rtl w:val="0"/>
                <w:lang w:val="pt-PT"/>
              </w:rPr>
              <w:t>) [</w:t>
            </w:r>
            <w:r>
              <w:rPr>
                <w:rtl w:val="0"/>
              </w:rPr>
              <w:t>7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</w:pPr>
            <w:r>
              <w:rPr>
                <w:rtl w:val="0"/>
              </w:rPr>
              <w:t>Projekt juurutab eksperimentaalseid ja tipptasemel tehnoloogiaid:</w:t>
            </w:r>
          </w:p>
          <w:p>
            <w:pPr>
              <w:pStyle w:val="Body"/>
              <w:numPr>
                <w:ilvl w:val="0"/>
                <w:numId w:val="11"/>
              </w:numPr>
            </w:pPr>
            <w:r>
              <w:rPr>
                <w:rtl w:val="0"/>
              </w:rPr>
              <w:t>Kavatsusep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hised protokollid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Intent-based protocols</w:t>
            </w:r>
            <w:r>
              <w:rPr>
                <w:rtl w:val="0"/>
              </w:rPr>
              <w:t>): Erinevalt j</w:t>
            </w:r>
            <w:r>
              <w:rPr>
                <w:rtl w:val="0"/>
              </w:rPr>
              <w:t>ä</w:t>
            </w:r>
            <w:r>
              <w:rPr>
                <w:rtl w:val="0"/>
                <w:lang w:val="fr-FR"/>
              </w:rPr>
              <w:t>ikadest API-dest kasutab Aruait d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naamilisi protokolle (nt MCP, A2A),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it-IT"/>
              </w:rPr>
              <w:t xml:space="preserve">imaldavad agentidel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m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ista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ü</w:t>
            </w:r>
            <w:r>
              <w:rPr>
                <w:rtl w:val="0"/>
              </w:rPr>
              <w:t>lesande sisu ja pidada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bir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kimisi selle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itmise tingimuste </w:t>
            </w:r>
            <w:r>
              <w:rPr>
                <w:rtl w:val="0"/>
              </w:rPr>
              <w:t>ü</w:t>
            </w:r>
            <w:r>
              <w:rPr>
                <w:rtl w:val="0"/>
                <w:lang w:val="pt-PT"/>
              </w:rPr>
              <w:t>le [</w:t>
            </w:r>
            <w:r>
              <w:rPr>
                <w:rtl w:val="0"/>
              </w:rPr>
              <w:t>8</w:t>
            </w:r>
            <w:r>
              <w:rPr>
                <w:rtl w:val="0"/>
                <w:lang w:val="pt-PT"/>
              </w:rPr>
              <w:t>]</w:t>
            </w:r>
            <w:r>
              <w:rPr>
                <w:rtl w:val="0"/>
              </w:rPr>
              <w:t xml:space="preserve"> kasutades teadmusbaasi salvestatud protsesside kirjeldusi.</w:t>
            </w:r>
          </w:p>
          <w:p>
            <w:pPr>
              <w:pStyle w:val="Body"/>
              <w:numPr>
                <w:ilvl w:val="0"/>
                <w:numId w:val="11"/>
              </w:numPr>
            </w:pPr>
            <w:r>
              <w:rPr>
                <w:rtl w:val="0"/>
                <w:lang w:val="en-US"/>
              </w:rPr>
              <w:t>Volitatud masin-identiteet: Loome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iesti uue identiteedikategooria, mis annab </w:t>
            </w:r>
            <w:r>
              <w:rPr>
                <w:rtl w:val="0"/>
              </w:rPr>
              <w:t xml:space="preserve">autonoomsele </w:t>
            </w:r>
            <w:r>
              <w:rPr>
                <w:rtl w:val="0"/>
              </w:rPr>
              <w:t>agendile piiratud teov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 esindada kodanikku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 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s-ES_tradnl"/>
              </w:rPr>
              <w:t xml:space="preserve">tet, lahendades sellega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Valges raamatus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kirjeldatud usaldusprobleemi [3].</w:t>
            </w:r>
          </w:p>
          <w:p>
            <w:pPr>
              <w:pStyle w:val="Caption"/>
              <w:bidi w:val="0"/>
            </w:pPr>
            <w:r>
              <w:rPr>
                <w:rtl w:val="0"/>
              </w:rPr>
              <w:t>D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naamiline ja iseorganiseeruv teenuste loome (Self-composing services)</w:t>
            </w:r>
          </w:p>
          <w:p>
            <w:pPr>
              <w:pStyle w:val="Body"/>
            </w:pPr>
            <w:r>
              <w:rPr>
                <w:rtl w:val="0"/>
              </w:rPr>
              <w:t>K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ige radikaalsem innovatsioon seisneb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imekuses luua teenuseid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lennult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>. Kui Aruaida teadmusbaasis on piisavalt detailselt kirjeldatud reeglid ja andmemudelid, ei pea riik igat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imalikku teenusvoogu ette programmeerima. Agendid suudavad kodaniku unikaalse kavatsuse 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hjal (nt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Tahan avada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likohviku kaitsealal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>) ise tuvastada vajalikud komponendid (load, koosk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lastused) ja panna kokku r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tsepat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na valminud teenuse, mida riik ei ole eraldi tootena arendanud. See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imaldab katta kuluefektiivselt nn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pika saba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(long-tail) vajadusi, mida k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sitsi arendada ei oleks otstarbekas [</w:t>
            </w:r>
            <w:r>
              <w:rPr>
                <w:rtl w:val="0"/>
              </w:rPr>
              <w:t>7</w:t>
            </w:r>
            <w:r>
              <w:rPr>
                <w:rtl w:val="0"/>
              </w:rPr>
              <w:t>, 1</w:t>
            </w:r>
            <w:r>
              <w:rPr>
                <w:rtl w:val="0"/>
              </w:rPr>
              <w:t>3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Caption"/>
              <w:bidi w:val="0"/>
            </w:pPr>
            <w:r>
              <w:rPr>
                <w:rtl w:val="0"/>
                <w:lang w:val="nl-NL"/>
              </w:rPr>
              <w:t>Globaalselt teedrajav</w:t>
            </w:r>
          </w:p>
          <w:p>
            <w:pPr>
              <w:pStyle w:val="Body"/>
            </w:pPr>
            <w:r>
              <w:rPr>
                <w:rtl w:val="0"/>
              </w:rPr>
              <w:t xml:space="preserve">Maailmas puudub hetkel toimiv riiklik </w:t>
            </w:r>
            <w:r>
              <w:rPr>
                <w:rtl w:val="0"/>
              </w:rPr>
              <w:t>tegumip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 xml:space="preserve">hise tehisaru (ing.k </w:t>
            </w:r>
            <w:r>
              <w:rPr>
                <w:i w:val="1"/>
                <w:iCs w:val="1"/>
                <w:rtl w:val="0"/>
                <w:lang w:val="en-US"/>
              </w:rPr>
              <w:t>Agentic AI</w:t>
            </w:r>
            <w:r>
              <w:rPr>
                <w:rtl w:val="0"/>
              </w:rPr>
              <w:t xml:space="preserve">) </w:t>
            </w:r>
            <w:r>
              <w:rPr>
                <w:rtl w:val="0"/>
              </w:rPr>
              <w:t xml:space="preserve">taristu. </w:t>
            </w:r>
            <w:r>
              <w:rPr>
                <w:rtl w:val="0"/>
              </w:rPr>
              <w:t>Suur osa riikidest</w:t>
            </w:r>
            <w:r>
              <w:rPr>
                <w:rtl w:val="0"/>
              </w:rPr>
              <w:t xml:space="preserve"> on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na </w:t>
            </w:r>
            <w:r>
              <w:rPr>
                <w:rtl w:val="0"/>
              </w:rPr>
              <w:t xml:space="preserve">takerdunud </w:t>
            </w:r>
            <w:r>
              <w:rPr>
                <w:rtl w:val="0"/>
              </w:rPr>
              <w:t xml:space="preserve">nn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rtusl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fr-FR"/>
              </w:rPr>
              <w:t>hesse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The AI Value Gap</w:t>
            </w:r>
            <w:r>
              <w:rPr>
                <w:rtl w:val="0"/>
              </w:rPr>
              <w:t>), suutes luua vaid lihtsaid vestlusroboteid [</w:t>
            </w:r>
            <w:r>
              <w:rPr>
                <w:rtl w:val="0"/>
              </w:rPr>
              <w:t>10, 11</w:t>
            </w:r>
            <w:r>
              <w:rPr>
                <w:rtl w:val="0"/>
              </w:rPr>
              <w:t xml:space="preserve">]. Aruait positsioneerib Eesti maailma esimeseks riigiks, mis loob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suver</w:t>
            </w:r>
            <w:r>
              <w:rPr>
                <w:rtl w:val="0"/>
              </w:rPr>
              <w:t>ää</w:t>
            </w:r>
            <w:r>
              <w:rPr>
                <w:rtl w:val="0"/>
                <w:lang w:val="nl-NL"/>
              </w:rPr>
              <w:t>nse halduskihi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Sovereign Governance Layer</w:t>
            </w:r>
            <w:r>
              <w:rPr>
                <w:rtl w:val="0"/>
              </w:rPr>
              <w:t xml:space="preserve">). See tagab, et tuleviku </w:t>
            </w:r>
            <w:r>
              <w:rPr>
                <w:rtl w:val="0"/>
              </w:rPr>
              <w:t xml:space="preserve">autonoomsed </w:t>
            </w:r>
            <w:r>
              <w:rPr>
                <w:rtl w:val="0"/>
              </w:rPr>
              <w:t xml:space="preserve">agendid ei toimi globaalsete tehnoloogiahiidude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musta kasti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reeglite j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rgi, vaid alluvad Eesti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igusruumile ja v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rtustele [</w:t>
            </w:r>
            <w:r>
              <w:rPr>
                <w:rtl w:val="0"/>
              </w:rPr>
              <w:t>7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Caption"/>
              <w:bidi w:val="0"/>
            </w:pPr>
            <w:r>
              <w:rPr>
                <w:rtl w:val="0"/>
              </w:rPr>
              <w:t>Eesti kontekstis</w:t>
            </w:r>
          </w:p>
          <w:p>
            <w:pPr>
              <w:pStyle w:val="Body"/>
            </w:pPr>
            <w:r>
              <w:rPr>
                <w:rtl w:val="0"/>
              </w:rPr>
              <w:t>See on loogiline samm edasi X-teest ja ID-kaardist. Kui X-tee lahendas andmete koostalitlusv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fr-FR"/>
              </w:rPr>
              <w:t>ime, siis Aruait lahendab protsesside autonoomsuse. See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 xml:space="preserve">imaldab realiseerida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Eesti 2035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visiooni 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htamatust ja proaktiivsest riigist [1].</w:t>
            </w:r>
          </w:p>
          <w:p>
            <w:pPr>
              <w:pStyle w:val="Body"/>
            </w:pPr>
            <w:r>
              <w:rPr>
                <w:rtl w:val="0"/>
              </w:rPr>
              <w:t>Kuna tegemist on maailmas ainulaadse lahendusega, vajavad valideerimist kriitilised mehhanismid:</w:t>
            </w:r>
          </w:p>
          <w:p>
            <w:pPr>
              <w:pStyle w:val="Body"/>
              <w:numPr>
                <w:ilvl w:val="0"/>
                <w:numId w:val="12"/>
              </w:numPr>
            </w:pPr>
            <w:r>
              <w:rPr>
                <w:rtl w:val="0"/>
              </w:rPr>
              <w:t xml:space="preserve">Masin-volituse piirid: Kuidas tagada, et autonoomne agent ei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leta oma volitusi? Testime </w:t>
            </w:r>
            <w:r>
              <w:rPr>
                <w:rtl w:val="0"/>
              </w:rPr>
              <w:t>“</w:t>
            </w:r>
            <w:r>
              <w:rPr>
                <w:rtl w:val="0"/>
                <w:lang w:val="en-US"/>
              </w:rPr>
              <w:t>kill-switch</w:t>
            </w:r>
            <w:r>
              <w:rPr>
                <w:rtl w:val="0"/>
              </w:rPr>
              <w:t xml:space="preserve">” </w:t>
            </w:r>
            <w:r>
              <w:rPr>
                <w:rtl w:val="0"/>
                <w:lang w:val="de-DE"/>
              </w:rPr>
              <w:t>mehhanisme.</w:t>
            </w:r>
          </w:p>
          <w:p>
            <w:pPr>
              <w:pStyle w:val="Body"/>
              <w:numPr>
                <w:ilvl w:val="0"/>
                <w:numId w:val="11"/>
              </w:numPr>
            </w:pPr>
            <w:r>
              <w:rPr>
                <w:rtl w:val="0"/>
              </w:rPr>
              <w:t xml:space="preserve">Hajutatud orkestreerimine: Kas eri osapoolte agendid suudavad leppida kokku keerulise menetluse sammudes ilma tsentraalse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super-arvutita</w:t>
            </w:r>
            <w:r>
              <w:rPr>
                <w:rtl w:val="0"/>
              </w:rPr>
              <w:t>”</w:t>
            </w:r>
            <w:r>
              <w:rPr>
                <w:rtl w:val="0"/>
                <w:lang w:val="zh-TW" w:eastAsia="zh-TW"/>
              </w:rPr>
              <w:t>?</w:t>
            </w:r>
          </w:p>
          <w:p>
            <w:pPr>
              <w:pStyle w:val="Body"/>
              <w:numPr>
                <w:ilvl w:val="0"/>
                <w:numId w:val="11"/>
              </w:numPr>
            </w:pPr>
            <w:r>
              <w:rPr>
                <w:rtl w:val="0"/>
              </w:rPr>
              <w:t>Teadmusbaasi piisavus: Kas meie reeglid on kirjeldatavad masinloetavalt nii, et agendid suudavad nendest ise teenuseid kokku panna (iseorganiseerumisv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zh-TW" w:eastAsia="zh-TW"/>
              </w:rPr>
              <w:t>ime test)?</w:t>
            </w:r>
          </w:p>
        </w:tc>
      </w:tr>
    </w:tbl>
    <w:p>
      <w:pPr>
        <w:pStyle w:val="Body"/>
        <w:spacing w:after="0"/>
      </w:pPr>
    </w:p>
    <w:p>
      <w:pPr>
        <w:pStyle w:val="Body"/>
        <w:spacing w:after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46"/>
      </w:tblGrid>
      <w:tr>
        <w:tblPrEx>
          <w:shd w:val="clear" w:color="auto" w:fill="cdd4e9"/>
        </w:tblPrEx>
        <w:trPr>
          <w:trHeight w:val="77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5. Projekti elluviimisega (katsetusega) seotud riskid ja nende maandamismeetmed</w:t>
            </w:r>
          </w:p>
          <w:p>
            <w:pPr>
              <w:pStyle w:val="Body"/>
            </w:pPr>
            <w:r>
              <w:rPr>
                <w:shd w:val="nil" w:color="auto" w:fill="auto"/>
                <w:rtl w:val="0"/>
              </w:rPr>
              <w:t>Kirjelda peamisi riske, mis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ivad takistada projekti elluviimist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nl-NL"/>
              </w:rPr>
              <w:t>i eesm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rkide saavutamist, ning kavanda maandamismeetmed.</w:t>
            </w:r>
          </w:p>
        </w:tc>
      </w:tr>
      <w:tr>
        <w:tblPrEx>
          <w:shd w:val="clear" w:color="auto" w:fill="cdd4e9"/>
        </w:tblPrEx>
        <w:trPr>
          <w:trHeight w:val="857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 xml:space="preserve">1. 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iguslik vaakum ja vastutuse k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simus:</w:t>
            </w:r>
          </w:p>
          <w:p>
            <w:pPr>
              <w:pStyle w:val="Body"/>
            </w:pPr>
            <w:r>
              <w:rPr>
                <w:rtl w:val="0"/>
              </w:rPr>
              <w:t xml:space="preserve">Kehtiv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igusruum ei reguleeri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pselt olukorda, kus otsuse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 toimingu teeb autonoomne agent ilma inimese vahetu sekkumiseta. Risk on, et tehniline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imekus valmib enne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iguslikku alust, mis takistab lahenduse kasutuselev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ttu (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Tehisintellekti tegevuskava</w:t>
            </w:r>
            <w:r>
              <w:rPr>
                <w:rtl w:val="0"/>
              </w:rPr>
              <w:t>”</w:t>
            </w:r>
            <w:r>
              <w:rPr>
                <w:rtl w:val="0"/>
                <w:lang w:val="en-US"/>
              </w:rPr>
              <w:t xml:space="preserve"> toob selle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lja kui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he peamise takistuse) [4].</w:t>
            </w:r>
          </w:p>
          <w:p>
            <w:pPr>
              <w:pStyle w:val="Body"/>
              <w:numPr>
                <w:ilvl w:val="0"/>
                <w:numId w:val="13"/>
              </w:numPr>
            </w:pPr>
            <w:r>
              <w:rPr>
                <w:rtl w:val="0"/>
              </w:rPr>
              <w:t>Maandamismeede: Projekti lahutamatuks osaks on regulatiivne</w:t>
            </w:r>
            <w:r>
              <w:rPr>
                <w:rtl w:val="0"/>
              </w:rPr>
              <w:t xml:space="preserve"> anal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>s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 xml:space="preserve"> Peame saama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pse </w:t>
            </w:r>
            <w:r>
              <w:rPr>
                <w:rtl w:val="0"/>
              </w:rPr>
              <w:t>ettevalmistatud HMS muudatus</w:t>
            </w:r>
            <w:r>
              <w:rPr>
                <w:rtl w:val="0"/>
              </w:rPr>
              <w:t>est</w:t>
            </w:r>
            <w:r>
              <w:rPr>
                <w:rtl w:val="0"/>
              </w:rPr>
              <w:t xml:space="preserve">, millega tekib riigil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igus haldusaktide automaatseks andmiseks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Teeme koost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 xml:space="preserve">d </w:t>
            </w:r>
            <w:r>
              <w:rPr>
                <w:rtl w:val="0"/>
              </w:rPr>
              <w:t>JustDigi</w:t>
            </w:r>
            <w:r>
              <w:rPr>
                <w:rtl w:val="0"/>
              </w:rPr>
              <w:t xml:space="preserve"> ja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V</w:t>
            </w:r>
            <w:r>
              <w:rPr>
                <w:rtl w:val="0"/>
                <w:lang w:val="nl-NL"/>
              </w:rPr>
              <w:t>alge raamatu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hmadega, et valmistada ette vajalikud muudatusettepanekud (nt masin-volituse juriidiline definitsioon). Kasutame </w:t>
            </w:r>
            <w:r>
              <w:rPr>
                <w:rtl w:val="0"/>
              </w:rPr>
              <w:t>“</w:t>
            </w:r>
            <w:r>
              <w:rPr>
                <w:i w:val="1"/>
                <w:iCs w:val="1"/>
                <w:rtl w:val="0"/>
                <w:lang w:val="en-US"/>
              </w:rPr>
              <w:t>Agentic State</w:t>
            </w:r>
            <w:r>
              <w:rPr>
                <w:i w:val="1"/>
                <w:iCs w:val="1"/>
                <w:rtl w:val="0"/>
              </w:rPr>
              <w:t>”</w:t>
            </w:r>
            <w:r>
              <w:rPr>
                <w:rtl w:val="0"/>
              </w:rPr>
              <w:t xml:space="preserve"> visioonis kirjeldatud </w:t>
            </w:r>
            <w:r>
              <w:rPr>
                <w:rtl w:val="0"/>
              </w:rPr>
              <w:t>“</w:t>
            </w:r>
            <w:r>
              <w:rPr>
                <w:rtl w:val="0"/>
                <w:lang w:val="it-IT"/>
              </w:rPr>
              <w:t>algoritmilise jurisprudentsi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him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tteid, kus reeglid on masinloetavad ja nende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itmine on tehniliselt tagatud [</w:t>
            </w:r>
            <w:r>
              <w:rPr>
                <w:rtl w:val="0"/>
              </w:rPr>
              <w:t>7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</w:pPr>
            <w:r>
              <w:rPr>
                <w:rtl w:val="0"/>
              </w:rPr>
              <w:t xml:space="preserve">2. </w:t>
            </w:r>
            <w:r>
              <w:rPr>
                <w:rtl w:val="0"/>
              </w:rPr>
              <w:t>Kasutuselev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tu</w:t>
            </w:r>
            <w:r>
              <w:rPr>
                <w:rtl w:val="0"/>
              </w:rPr>
              <w:t xml:space="preserve"> risk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Adoption Risk</w:t>
            </w:r>
            <w:r>
              <w:rPr>
                <w:rtl w:val="0"/>
              </w:rPr>
              <w:t>):</w:t>
            </w:r>
          </w:p>
          <w:p>
            <w:pPr>
              <w:pStyle w:val="Body"/>
            </w:pPr>
            <w:r>
              <w:rPr>
                <w:rtl w:val="0"/>
              </w:rPr>
              <w:t>MIT ja BCG raportid hoiatavad, et 95% AI projektidest eba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nnestub, kuna organisatsioonid ei suuda neid integreerida olemasolevatesse t</w:t>
            </w:r>
            <w:r>
              <w:rPr>
                <w:rtl w:val="0"/>
              </w:rPr>
              <w:t>öö</w:t>
            </w:r>
            <w:r>
              <w:rPr>
                <w:rtl w:val="0"/>
                <w:lang w:val="pt-PT"/>
              </w:rPr>
              <w:t>voogudesse [</w:t>
            </w:r>
            <w:r>
              <w:rPr>
                <w:rtl w:val="0"/>
              </w:rPr>
              <w:t>9</w:t>
            </w:r>
            <w:r>
              <w:rPr>
                <w:rtl w:val="0"/>
              </w:rPr>
              <w:t>,</w:t>
            </w:r>
            <w:r>
              <w:rPr>
                <w:rtl w:val="0"/>
              </w:rPr>
              <w:t xml:space="preserve"> 10</w:t>
            </w:r>
            <w:r>
              <w:rPr>
                <w:rtl w:val="0"/>
                <w:lang w:val="en-US"/>
              </w:rPr>
              <w:t>]. Risk on, et loome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imeka platvormi, kuid asutused (nt MaRu) ja 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tted ei tule kaasa, sest nende sisemine digik</w:t>
            </w:r>
            <w:r>
              <w:rPr>
                <w:rtl w:val="0"/>
              </w:rPr>
              <w:t>ü</w:t>
            </w:r>
            <w:r>
              <w:rPr>
                <w:rtl w:val="0"/>
                <w:lang w:val="es-ES_tradnl"/>
              </w:rPr>
              <w:t>psus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it-IT"/>
              </w:rPr>
              <w:t>i p</w:t>
            </w:r>
            <w:r>
              <w:rPr>
                <w:rtl w:val="0"/>
              </w:rPr>
              <w:t>ä</w:t>
            </w:r>
            <w:r>
              <w:rPr>
                <w:rtl w:val="0"/>
                <w:lang w:val="nl-NL"/>
              </w:rPr>
              <w:t>rands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steemid ei toeta agentset suhtlust.</w:t>
            </w:r>
          </w:p>
          <w:p>
            <w:pPr>
              <w:pStyle w:val="Body"/>
              <w:numPr>
                <w:ilvl w:val="0"/>
                <w:numId w:val="13"/>
              </w:numPr>
            </w:pPr>
            <w:r>
              <w:rPr>
                <w:rtl w:val="0"/>
                <w:lang w:val="nl-NL"/>
              </w:rPr>
              <w:t>Maandamismeede: Me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htume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Tehisintellekti tegevuskava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him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ttest toetada asutuste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imekuse 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stmist [4]. Kasutame GovStacki soovitatud modulaarset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henemist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building blocks</w:t>
            </w:r>
            <w:r>
              <w:rPr>
                <w:rtl w:val="0"/>
                <w:lang w:val="fr-FR"/>
              </w:rPr>
              <w:t>),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imaldab liituda ka madalama digik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psusega asutustel [</w:t>
            </w:r>
            <w:r>
              <w:rPr>
                <w:rtl w:val="0"/>
              </w:rPr>
              <w:t>8</w:t>
            </w:r>
            <w:r>
              <w:rPr>
                <w:rtl w:val="0"/>
                <w:lang w:val="en-US"/>
              </w:rPr>
              <w:t>]. Pilootprojekt (MaRu) on valitud just seet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ttu, et seal on selge vajadus ja valmisolek (90 infos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steemi probleem), mis tagab kohese v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rtusloome.</w:t>
            </w:r>
          </w:p>
          <w:p>
            <w:pPr>
              <w:pStyle w:val="Body"/>
            </w:pPr>
            <w:r>
              <w:rPr>
                <w:rtl w:val="0"/>
              </w:rPr>
              <w:t>3. Usaldus ja turvalisus (</w:t>
            </w:r>
            <w:r>
              <w:rPr>
                <w:rtl w:val="0"/>
              </w:rPr>
              <w:t xml:space="preserve">nt </w:t>
            </w:r>
            <w:r>
              <w:rPr>
                <w:rtl w:val="0"/>
                <w:lang w:val="en-US"/>
              </w:rPr>
              <w:t>Agentsed r</w:t>
            </w:r>
            <w:r>
              <w:rPr>
                <w:rtl w:val="0"/>
              </w:rPr>
              <w:t>ü</w:t>
            </w:r>
            <w:r>
              <w:rPr>
                <w:rtl w:val="0"/>
                <w:lang w:val="en-US"/>
              </w:rPr>
              <w:t>nded):</w:t>
            </w:r>
          </w:p>
          <w:p>
            <w:pPr>
              <w:pStyle w:val="Body"/>
            </w:pPr>
            <w:r>
              <w:rPr>
                <w:rtl w:val="0"/>
                <w:lang w:val="en-US"/>
              </w:rPr>
              <w:t>Autonoomsed agendid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sv-SE"/>
              </w:rPr>
              <w:t>ivad k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ituda ettearvamatult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 langeda manipulatsioonide ohvriks (nt 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fr-FR"/>
              </w:rPr>
              <w:t>prompt injection</w:t>
            </w:r>
            <w:r>
              <w:rPr>
                <w:rtl w:val="0"/>
              </w:rPr>
              <w:t>), tehes riigi nimel soovimatuid toiminguid. See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ib kahjustada kodanike usaldust digiriigi vastu, mis on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Eesti 2035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ü</w:t>
            </w:r>
            <w:r>
              <w:rPr>
                <w:rtl w:val="0"/>
              </w:rPr>
              <w:t>ks alustalasid [1].</w:t>
            </w:r>
          </w:p>
          <w:p>
            <w:pPr>
              <w:pStyle w:val="Body"/>
              <w:numPr>
                <w:ilvl w:val="0"/>
                <w:numId w:val="13"/>
              </w:numPr>
            </w:pPr>
            <w:r>
              <w:rPr>
                <w:rtl w:val="0"/>
                <w:lang w:val="nl-NL"/>
              </w:rPr>
              <w:t xml:space="preserve">Maandamismeede: Rakendame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Null-usalduse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Zero Trust</w:t>
            </w:r>
            <w:r>
              <w:rPr>
                <w:rtl w:val="0"/>
              </w:rPr>
              <w:t>) arhitektuuri ja ranget identiteedikontrolli (Identiteet 2.0), kus iga agendi tegevus on kr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ptograafiliselt allkirjastatud ja logitud [</w:t>
            </w:r>
            <w:r>
              <w:rPr>
                <w:rtl w:val="0"/>
              </w:rPr>
              <w:t>8</w:t>
            </w:r>
            <w:r>
              <w:rPr>
                <w:rtl w:val="0"/>
              </w:rPr>
              <w:t xml:space="preserve">]. Kriitiliste otsuste puhul rakendame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inimene-ahela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Human-on-the-loop</w:t>
            </w:r>
            <w:r>
              <w:rPr>
                <w:rtl w:val="0"/>
              </w:rPr>
              <w:t>) 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him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tet, nagu n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 xml:space="preserve">uab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Valge raamat</w:t>
            </w:r>
            <w:r>
              <w:rPr>
                <w:rtl w:val="0"/>
              </w:rPr>
              <w:t>”</w:t>
            </w:r>
            <w:r>
              <w:rPr>
                <w:rtl w:val="0"/>
                <w:lang w:val="pt-PT"/>
              </w:rPr>
              <w:t xml:space="preserve"> [3]. K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ik tehingud on kodanikule 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htavad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bi </w:t>
            </w:r>
            <w:r>
              <w:rPr>
                <w:b w:val="1"/>
                <w:bCs w:val="1"/>
                <w:rtl w:val="0"/>
              </w:rPr>
              <w:t>Andmej</w:t>
            </w:r>
            <w:r>
              <w:rPr>
                <w:b w:val="1"/>
                <w:bCs w:val="1"/>
                <w:rtl w:val="0"/>
              </w:rPr>
              <w:t>ä</w:t>
            </w:r>
            <w:r>
              <w:rPr>
                <w:b w:val="1"/>
                <w:bCs w:val="1"/>
                <w:rtl w:val="0"/>
              </w:rPr>
              <w:t>lgija</w:t>
            </w:r>
            <w:r>
              <w:rPr>
                <w:rtl w:val="0"/>
              </w:rPr>
              <w:t>, tagades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bipaistvuse.</w:t>
            </w:r>
          </w:p>
          <w:p>
            <w:pPr>
              <w:pStyle w:val="Body"/>
            </w:pPr>
            <w:r>
              <w:rPr>
                <w:rtl w:val="0"/>
              </w:rPr>
              <w:t>4. Tehniline keerukus ja tarnija lukk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s-ES_tradnl"/>
              </w:rPr>
              <w:t>Vendor Lock-in</w:t>
            </w:r>
            <w:r>
              <w:rPr>
                <w:rtl w:val="0"/>
              </w:rPr>
              <w:t>):</w:t>
            </w:r>
          </w:p>
          <w:p>
            <w:pPr>
              <w:pStyle w:val="Body"/>
            </w:pPr>
            <w:r>
              <w:rPr>
                <w:rtl w:val="0"/>
              </w:rPr>
              <w:t>Arendus on tehniliselt keerukas ja risk on sattuda s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ltuvusse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hest konkreetsest suurkorporatsiooni </w:t>
            </w:r>
            <w:r>
              <w:rPr>
                <w:rtl w:val="0"/>
              </w:rPr>
              <w:t>tehisaru</w:t>
            </w:r>
            <w:r>
              <w:rPr>
                <w:rtl w:val="0"/>
                <w:lang w:val="de-DE"/>
              </w:rPr>
              <w:t>mudelist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 tarnijast.</w:t>
            </w:r>
          </w:p>
          <w:p>
            <w:pPr>
              <w:pStyle w:val="Body"/>
              <w:numPr>
                <w:ilvl w:val="0"/>
                <w:numId w:val="13"/>
              </w:numPr>
            </w:pPr>
            <w:r>
              <w:rPr>
                <w:rtl w:val="0"/>
              </w:rPr>
              <w:t>Maandamismeede: Kasutame innovatsioonihanget ja avatud standardeid (nt MCP, A2A), mis on agnostilised konkreetsete mudelite suhtes [</w:t>
            </w:r>
            <w:r>
              <w:rPr>
                <w:rtl w:val="0"/>
              </w:rPr>
              <w:t>8</w:t>
            </w:r>
            <w:r>
              <w:rPr>
                <w:rtl w:val="0"/>
              </w:rPr>
              <w:t>]. See tagab, et riik kontrollib infrastruktuuri (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suver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nne halduskiht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>) ja saab vajadusel vahetada alusmudeleid (nt liikuda GPT-</w:t>
            </w:r>
            <w:r>
              <w:rPr>
                <w:rtl w:val="0"/>
              </w:rPr>
              <w:t>5</w:t>
            </w:r>
            <w:r>
              <w:rPr>
                <w:rtl w:val="0"/>
                <w:lang w:val="en-US"/>
              </w:rPr>
              <w:t xml:space="preserve"> pealt </w:t>
            </w:r>
            <w:r>
              <w:rPr>
                <w:rtl w:val="0"/>
              </w:rPr>
              <w:t xml:space="preserve">avalike kaaludega </w:t>
            </w:r>
            <w:r>
              <w:rPr>
                <w:rtl w:val="0"/>
              </w:rPr>
              <w:t xml:space="preserve">Llama </w:t>
            </w:r>
            <w:r>
              <w:rPr>
                <w:rtl w:val="0"/>
              </w:rPr>
              <w:t xml:space="preserve">mudeli </w:t>
            </w:r>
            <w:r>
              <w:rPr>
                <w:rtl w:val="0"/>
              </w:rPr>
              <w:t>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</w:t>
            </w:r>
            <w:r>
              <w:rPr>
                <w:rtl w:val="0"/>
              </w:rPr>
              <w:t xml:space="preserve"> tulevikus</w:t>
            </w:r>
            <w:r>
              <w:rPr>
                <w:rtl w:val="0"/>
              </w:rPr>
              <w:t xml:space="preserve"> riikliku mudeli peale), tagades digitaalse suver</w:t>
            </w:r>
            <w:r>
              <w:rPr>
                <w:rtl w:val="0"/>
              </w:rPr>
              <w:t>ää</w:t>
            </w:r>
            <w:r>
              <w:rPr>
                <w:rtl w:val="0"/>
                <w:lang w:val="en-US"/>
              </w:rPr>
              <w:t>nsuse [</w:t>
            </w:r>
            <w:r>
              <w:rPr>
                <w:rtl w:val="0"/>
              </w:rPr>
              <w:t>7</w:t>
            </w:r>
            <w:r>
              <w:rPr>
                <w:rtl w:val="0"/>
                <w:lang w:val="pt-PT"/>
              </w:rPr>
              <w:t>].</w:t>
            </w:r>
            <w:r>
              <w:rPr>
                <w:rtl w:val="0"/>
              </w:rPr>
              <w:t xml:space="preserve"> Aruaida teadmusbaas 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imaldab teha reeglip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hist arutlust otse Aruaida sees ilma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liseid mudeleid kasutamata.</w:t>
            </w:r>
          </w:p>
        </w:tc>
      </w:tr>
    </w:tbl>
    <w:p>
      <w:pPr>
        <w:pStyle w:val="Body"/>
        <w:spacing w:after="0"/>
      </w:pPr>
    </w:p>
    <w:p>
      <w:pPr>
        <w:pStyle w:val="Body"/>
        <w:spacing w:after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46"/>
      </w:tblGrid>
      <w:tr>
        <w:tblPrEx>
          <w:shd w:val="clear" w:color="auto" w:fill="cdd4e9"/>
        </w:tblPrEx>
        <w:trPr>
          <w:trHeight w:val="261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6. Projekti ajakava</w:t>
            </w:r>
          </w:p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Koostage realistlik ajakava, mis h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lmab k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iki projekti tegevusi ning annab sellega sisendi projekti eelarve koostamisele.</w:t>
            </w:r>
          </w:p>
          <w:p>
            <w:pPr>
              <w:pStyle w:val="Body"/>
              <w:numPr>
                <w:ilvl w:val="0"/>
                <w:numId w:val="14"/>
              </w:numPr>
            </w:pPr>
            <w:r>
              <w:rPr>
                <w:shd w:val="nil" w:color="auto" w:fill="auto"/>
                <w:rtl w:val="0"/>
              </w:rPr>
              <w:t>Ajakava koostamisel arvestage vajalike eel- ja 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ru-RU"/>
              </w:rPr>
              <w:t>rel-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nl-NL"/>
              </w:rPr>
              <w:t>i vahetegevustega (nt partnerluslepingu s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lmimise ettevalmistus kuni 2 kuud, vajalike lubade saamine projekti jooksul vms).</w:t>
            </w:r>
          </w:p>
          <w:p>
            <w:pPr>
              <w:pStyle w:val="Body"/>
              <w:numPr>
                <w:ilvl w:val="0"/>
                <w:numId w:val="14"/>
              </w:numPr>
            </w:pPr>
            <w:r>
              <w:rPr>
                <w:shd w:val="nil" w:color="auto" w:fill="auto"/>
                <w:rtl w:val="0"/>
                <w:lang w:val="de-DE"/>
              </w:rPr>
              <w:t>Milliste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imalike puhvritega oleks ajakavas m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istlik arvestada?</w:t>
            </w:r>
          </w:p>
          <w:p>
            <w:pPr>
              <w:pStyle w:val="Body"/>
              <w:numPr>
                <w:ilvl w:val="0"/>
                <w:numId w:val="14"/>
              </w:numPr>
            </w:pPr>
            <w:r>
              <w:rPr>
                <w:shd w:val="nil" w:color="auto" w:fill="auto"/>
                <w:rtl w:val="0"/>
                <w:lang w:val="nl-NL"/>
              </w:rPr>
              <w:t>Jagage tegevused loogilisteks etappideks, arvestage tegevuste omavahelisi seoseid ning ajalist 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rgnevust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nl-NL"/>
              </w:rPr>
              <w:t>i paralleelsust.</w:t>
            </w:r>
          </w:p>
          <w:p>
            <w:pPr>
              <w:pStyle w:val="Body"/>
              <w:numPr>
                <w:ilvl w:val="0"/>
                <w:numId w:val="14"/>
              </w:numPr>
            </w:pPr>
            <w:r>
              <w:rPr>
                <w:shd w:val="nil" w:color="auto" w:fill="auto"/>
                <w:rtl w:val="0"/>
                <w:lang w:val="nl-NL"/>
              </w:rPr>
              <w:t>Hangete l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biviimise ajaraami kavandamiseks kasuta hankekalkulaatorit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"https://eis.ee/hankekalkulaator/"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Hankekalkulaator - EIS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dd4e9"/>
        </w:tblPrEx>
        <w:trPr>
          <w:trHeight w:val="1101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>Projekt on jaotatud kolme loogilisse etappi, mis j</w:t>
            </w:r>
            <w:r>
              <w:rPr>
                <w:rtl w:val="0"/>
              </w:rPr>
              <w:t>ä</w:t>
            </w:r>
            <w:r>
              <w:rPr>
                <w:rtl w:val="0"/>
                <w:lang w:val="en-US"/>
              </w:rPr>
              <w:t>rgivad MIT ja GovStacki soovitatud "Agentic State" implementeerimise mudelit: esmalt vundament (Foundational Layer), seej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rel rakenduskiht (Implementation Layer) ja l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puks valideerimine [</w:t>
            </w:r>
            <w:r>
              <w:rPr>
                <w:rtl w:val="0"/>
              </w:rPr>
              <w:t>8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</w:pPr>
            <w:r>
              <w:rPr>
                <w:b w:val="1"/>
                <w:bCs w:val="1"/>
                <w:rtl w:val="0"/>
                <w:lang w:val="nl-NL"/>
              </w:rPr>
              <w:t>Tegevused</w:t>
            </w:r>
            <w:r>
              <w:rPr>
                <w:rtl w:val="0"/>
              </w:rPr>
              <w:t xml:space="preserve">                                                                                                                             </w:t>
            </w:r>
            <w:r>
              <w:rPr>
                <w:b w:val="1"/>
                <w:bCs w:val="1"/>
                <w:rtl w:val="0"/>
              </w:rPr>
              <w:t>Kestus</w:t>
            </w:r>
          </w:p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I eta</w:t>
            </w:r>
            <w:r>
              <w:rPr>
                <w:b w:val="1"/>
                <w:bCs w:val="1"/>
                <w:rtl w:val="0"/>
              </w:rPr>
              <w:t>pp - anal</w:t>
            </w:r>
            <w:r>
              <w:rPr>
                <w:b w:val="1"/>
                <w:bCs w:val="1"/>
                <w:rtl w:val="0"/>
              </w:rPr>
              <w:t>üü</w:t>
            </w:r>
            <w:r>
              <w:rPr>
                <w:b w:val="1"/>
                <w:bCs w:val="1"/>
                <w:rtl w:val="0"/>
              </w:rPr>
              <w:t>s ja p</w:t>
            </w:r>
            <w:r>
              <w:rPr>
                <w:b w:val="1"/>
                <w:bCs w:val="1"/>
                <w:rtl w:val="0"/>
              </w:rPr>
              <w:t>rotot</w:t>
            </w:r>
            <w:r>
              <w:rPr>
                <w:b w:val="1"/>
                <w:bCs w:val="1"/>
                <w:rtl w:val="0"/>
              </w:rPr>
              <w:t>üü</w:t>
            </w:r>
            <w:r>
              <w:rPr>
                <w:b w:val="1"/>
                <w:bCs w:val="1"/>
                <w:rtl w:val="0"/>
              </w:rPr>
              <w:t>pimine</w:t>
            </w:r>
            <w:r>
              <w:rPr>
                <w:b w:val="1"/>
                <w:bCs w:val="1"/>
                <w:rtl w:val="0"/>
              </w:rPr>
              <w:t xml:space="preserve">.                                                                                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</w:rPr>
              <w:t>k</w:t>
            </w:r>
            <w:r>
              <w:rPr>
                <w:b w:val="1"/>
                <w:bCs w:val="1"/>
                <w:rtl w:val="0"/>
              </w:rPr>
              <w:t>uud 1-6)</w:t>
            </w:r>
          </w:p>
          <w:p>
            <w:pPr>
              <w:pStyle w:val="Body"/>
            </w:pPr>
            <w:r>
              <w:rPr>
                <w:rtl w:val="0"/>
                <w:lang w:val="de-DE"/>
              </w:rPr>
              <w:t xml:space="preserve">Fookus: 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igusliku ja tehnilise arhitektuuri paika panemine ning innovatsioonihanke k</w:t>
            </w:r>
            <w:r>
              <w:rPr>
                <w:rtl w:val="0"/>
              </w:rPr>
              <w:t>ä</w:t>
            </w:r>
            <w:r>
              <w:rPr>
                <w:rtl w:val="0"/>
                <w:lang w:val="it-IT"/>
              </w:rPr>
              <w:t>ivitamine.</w:t>
            </w:r>
          </w:p>
          <w:p>
            <w:pPr>
              <w:pStyle w:val="Body"/>
              <w:numPr>
                <w:ilvl w:val="0"/>
                <w:numId w:val="15"/>
              </w:numPr>
            </w:pPr>
            <w:r>
              <w:rPr>
                <w:rtl w:val="0"/>
              </w:rPr>
              <w:t>Innovatsioonihanke ettevalmistus ja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biviimine: Partnerite valik (teadus- ja arenduspartnerid), kasutades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Valge raamatu</w:t>
            </w:r>
            <w:r>
              <w:rPr>
                <w:rtl w:val="0"/>
              </w:rPr>
              <w:t xml:space="preserve">” </w:t>
            </w:r>
            <w:r>
              <w:rPr>
                <w:rtl w:val="0"/>
              </w:rPr>
              <w:t>soovitatud paindlikke hankemudeleid, et kaasata tippkompetentsi [3].</w:t>
            </w:r>
          </w:p>
          <w:p>
            <w:pPr>
              <w:pStyle w:val="Body"/>
              <w:numPr>
                <w:ilvl w:val="0"/>
                <w:numId w:val="15"/>
              </w:numPr>
            </w:pPr>
            <w:r>
              <w:rPr>
                <w:rtl w:val="0"/>
              </w:rPr>
              <w:t xml:space="preserve">Arhitektuuri ja standardite kinnitamine: </w:t>
            </w:r>
            <w:r>
              <w:rPr>
                <w:rtl w:val="0"/>
              </w:rPr>
              <w:t>Aruaida</w:t>
            </w:r>
            <w:r>
              <w:rPr>
                <w:rtl w:val="0"/>
              </w:rPr>
              <w:t xml:space="preserve"> tehnilise arhitektuuri</w:t>
            </w:r>
            <w:r>
              <w:rPr>
                <w:rtl w:val="0"/>
              </w:rPr>
              <w:t xml:space="preserve">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ljat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 xml:space="preserve">tamine. </w:t>
            </w:r>
            <w:r>
              <w:rPr>
                <w:i w:val="1"/>
                <w:iCs w:val="1"/>
                <w:rtl w:val="0"/>
                <w:lang w:val="en-US"/>
              </w:rPr>
              <w:t>GovStack</w:t>
            </w:r>
            <w:r>
              <w:rPr>
                <w:i w:val="1"/>
                <w:iCs w:val="1"/>
                <w:rtl w:val="0"/>
              </w:rPr>
              <w:t xml:space="preserve"> </w:t>
            </w:r>
            <w:r>
              <w:rPr>
                <w:rtl w:val="0"/>
              </w:rPr>
              <w:t>kohandamine Eesti oludele. Suhtlusprotokollide (nt MCP, A2A) ja andmevahetusstandardite fikseerimine koost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s NIIS-i ja M</w:t>
            </w:r>
            <w:r>
              <w:rPr>
                <w:rtl w:val="0"/>
              </w:rPr>
              <w:t>K</w:t>
            </w:r>
            <w:r>
              <w:rPr>
                <w:rtl w:val="0"/>
              </w:rPr>
              <w:t xml:space="preserve">M-iga, et tagada X-tee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hilduvus [</w:t>
            </w:r>
            <w:r>
              <w:rPr>
                <w:rtl w:val="0"/>
              </w:rPr>
              <w:t>8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  <w:numPr>
                <w:ilvl w:val="0"/>
                <w:numId w:val="15"/>
              </w:numPr>
            </w:pPr>
            <w:r>
              <w:rPr>
                <w:rtl w:val="0"/>
              </w:rPr>
              <w:t>Õ</w:t>
            </w:r>
            <w:r>
              <w:rPr>
                <w:rtl w:val="0"/>
              </w:rPr>
              <w:t>iguslik anal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 xml:space="preserve">s ja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Identiteet 2.0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>: Volitatud masin-identiteedi ja automaatotsuste (HMS) juriidilise raamistiku anal</w:t>
            </w:r>
            <w:r>
              <w:rPr>
                <w:rtl w:val="0"/>
              </w:rPr>
              <w:t>üü</w:t>
            </w:r>
            <w:r>
              <w:rPr>
                <w:rtl w:val="0"/>
                <w:lang w:val="nl-NL"/>
              </w:rPr>
              <w:t>s koost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s Justiitsministeeriumiga, et valmistada ette reeglid</w:t>
            </w:r>
            <w:r>
              <w:rPr>
                <w:rtl w:val="0"/>
              </w:rPr>
              <w:t xml:space="preserve"> loodavale lahendusele kui ka 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imalikud muudatusettepanekud sisendina tuleviku seadusloomesse</w:t>
            </w:r>
            <w:r>
              <w:rPr>
                <w:rtl w:val="0"/>
                <w:lang w:val="pt-PT"/>
              </w:rPr>
              <w:t xml:space="preserve"> [4].</w:t>
            </w:r>
          </w:p>
          <w:p>
            <w:pPr>
              <w:pStyle w:val="Body"/>
              <w:numPr>
                <w:ilvl w:val="0"/>
                <w:numId w:val="15"/>
              </w:numPr>
            </w:pPr>
            <w:r>
              <w:rPr>
                <w:rtl w:val="0"/>
              </w:rPr>
              <w:t>Tulemus: Kinnitatud arhitektuurijoonis, valitud partnerid ja juriidiline teekaart</w:t>
            </w:r>
            <w:r>
              <w:rPr>
                <w:rtl w:val="0"/>
              </w:rPr>
              <w:t>.</w:t>
            </w:r>
            <w:r>
              <w:tab/>
            </w:r>
          </w:p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nl-NL"/>
              </w:rPr>
              <w:t>II etapp</w:t>
              <w:tab/>
            </w:r>
            <w:r>
              <w:rPr>
                <w:b w:val="1"/>
                <w:bCs w:val="1"/>
                <w:rtl w:val="0"/>
              </w:rPr>
              <w:t xml:space="preserve">- tehniline </w:t>
            </w:r>
            <w:r>
              <w:rPr>
                <w:b w:val="1"/>
                <w:bCs w:val="1"/>
                <w:rtl w:val="0"/>
              </w:rPr>
              <w:t>raamistik</w:t>
            </w:r>
            <w:r>
              <w:rPr>
                <w:b w:val="1"/>
                <w:bCs w:val="1"/>
                <w:rtl w:val="0"/>
              </w:rPr>
              <w:t xml:space="preserve"> ja arendust</w:t>
            </w:r>
            <w:r>
              <w:rPr>
                <w:b w:val="1"/>
                <w:bCs w:val="1"/>
                <w:rtl w:val="0"/>
              </w:rPr>
              <w:t xml:space="preserve">öö                                                                     </w:t>
            </w:r>
            <w:r>
              <w:rPr>
                <w:b w:val="1"/>
                <w:bCs w:val="1"/>
                <w:rtl w:val="0"/>
              </w:rPr>
              <w:t xml:space="preserve"> (</w:t>
            </w:r>
            <w:r>
              <w:rPr>
                <w:b w:val="1"/>
                <w:bCs w:val="1"/>
                <w:rtl w:val="0"/>
              </w:rPr>
              <w:t>k</w:t>
            </w:r>
            <w:r>
              <w:rPr>
                <w:b w:val="1"/>
                <w:bCs w:val="1"/>
                <w:rtl w:val="0"/>
              </w:rPr>
              <w:t>uud 7-16)</w:t>
              <w:tab/>
            </w:r>
          </w:p>
          <w:p>
            <w:pPr>
              <w:pStyle w:val="Body"/>
            </w:pPr>
            <w:r>
              <w:rPr>
                <w:rtl w:val="0"/>
                <w:lang w:val="de-DE"/>
              </w:rPr>
              <w:t xml:space="preserve">Fookus: </w:t>
            </w:r>
            <w:r>
              <w:rPr>
                <w:rtl w:val="0"/>
              </w:rPr>
              <w:t>“</w:t>
            </w:r>
            <w:r>
              <w:rPr>
                <w:rtl w:val="0"/>
                <w:lang w:val="fr-FR"/>
              </w:rPr>
              <w:t>Suver</w:t>
            </w:r>
            <w:r>
              <w:rPr>
                <w:rtl w:val="0"/>
              </w:rPr>
              <w:t>ää</w:t>
            </w:r>
            <w:r>
              <w:rPr>
                <w:rtl w:val="0"/>
                <w:lang w:val="nl-NL"/>
              </w:rPr>
              <w:t>nse halduskihi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ehitamine ja esimeste agentide loomine.</w:t>
            </w:r>
          </w:p>
          <w:p>
            <w:pPr>
              <w:pStyle w:val="Body"/>
              <w:numPr>
                <w:ilvl w:val="0"/>
                <w:numId w:val="15"/>
              </w:numPr>
            </w:pPr>
            <w:r>
              <w:rPr>
                <w:rtl w:val="0"/>
              </w:rPr>
              <w:t>Aruait MVP v0.1 arendus: Keskse orkestreerimiskihi ja avaliku agentide registri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Agent Registry</w:t>
            </w:r>
            <w:r>
              <w:rPr>
                <w:rtl w:val="0"/>
                <w:lang w:val="en-US"/>
              </w:rPr>
              <w:t xml:space="preserve">) arendamine. See on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Null-usalduse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Zero Trust</w:t>
            </w:r>
            <w:r>
              <w:rPr>
                <w:rtl w:val="0"/>
              </w:rPr>
              <w:t>) arhitektuuri nurgakivi</w:t>
            </w:r>
            <w:r>
              <w:rPr>
                <w:rtl w:val="0"/>
              </w:rPr>
              <w:t>ks</w:t>
            </w:r>
            <w:r>
              <w:rPr>
                <w:rtl w:val="0"/>
                <w:lang w:val="nl-NL"/>
              </w:rPr>
              <w:t xml:space="preserve">, kus defineeritakse agentide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igused [</w:t>
            </w:r>
            <w:r>
              <w:rPr>
                <w:rtl w:val="0"/>
              </w:rPr>
              <w:t>7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8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  <w:numPr>
                <w:ilvl w:val="0"/>
                <w:numId w:val="15"/>
              </w:numPr>
            </w:pPr>
            <w:r>
              <w:rPr>
                <w:rtl w:val="0"/>
              </w:rPr>
              <w:t xml:space="preserve">Teadmusbaasi </w:t>
            </w:r>
            <w:r>
              <w:rPr>
                <w:rtl w:val="0"/>
                <w:lang w:val="nl-NL"/>
              </w:rPr>
              <w:t>reeglimootori</w:t>
            </w:r>
            <w:r>
              <w:rPr>
                <w:rtl w:val="0"/>
              </w:rPr>
              <w:t xml:space="preserve"> (ing.k </w:t>
            </w:r>
            <w:r>
              <w:rPr>
                <w:rtl w:val="0"/>
              </w:rPr>
              <w:t>Rules-as-Code</w:t>
            </w:r>
            <w:r>
              <w:rPr>
                <w:rtl w:val="0"/>
              </w:rPr>
              <w:t>)</w:t>
            </w:r>
            <w:r>
              <w:rPr>
                <w:rtl w:val="0"/>
              </w:rPr>
              <w:t xml:space="preserve"> protot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>p: Maa- ja Ruumiameti (MaRu) menetlusreeglite 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lkimine masinloetavasse formaati,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imaldab agentidel iseseisvalt kontrollida n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s-ES_tradnl"/>
              </w:rPr>
              <w:t>uete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itmist [</w:t>
            </w:r>
            <w:r>
              <w:rPr>
                <w:rtl w:val="0"/>
              </w:rPr>
              <w:t>13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  <w:numPr>
                <w:ilvl w:val="0"/>
                <w:numId w:val="15"/>
              </w:numPr>
            </w:pPr>
            <w:r>
              <w:rPr>
                <w:rtl w:val="0"/>
              </w:rPr>
              <w:t>Autonoomsete t</w:t>
            </w:r>
            <w:r>
              <w:rPr>
                <w:rtl w:val="0"/>
              </w:rPr>
              <w:t xml:space="preserve">estagentide loomine: Esimeste autonoomsete agentide loomine suletud testkeskkonnas, mis suudavad omavahel vahetada struktureeritud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lesandeid (mitte ainult andmeid).</w:t>
            </w:r>
          </w:p>
          <w:p>
            <w:pPr>
              <w:pStyle w:val="Body"/>
              <w:numPr>
                <w:ilvl w:val="0"/>
                <w:numId w:val="15"/>
              </w:numPr>
            </w:pPr>
            <w:r>
              <w:rPr>
                <w:rtl w:val="0"/>
              </w:rPr>
              <w:t>Tulemus: T</w:t>
            </w:r>
            <w:r>
              <w:rPr>
                <w:rtl w:val="0"/>
              </w:rPr>
              <w:t>oimiv</w:t>
            </w:r>
            <w:r>
              <w:rPr>
                <w:rtl w:val="0"/>
              </w:rPr>
              <w:t xml:space="preserve"> Aruaida tuum (registrid + protokollid) ja testkeskkond.</w:t>
            </w:r>
          </w:p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III etapp - p</w:t>
            </w:r>
            <w:r>
              <w:rPr>
                <w:b w:val="1"/>
                <w:bCs w:val="1"/>
                <w:rtl w:val="0"/>
                <w:lang w:val="nl-NL"/>
              </w:rPr>
              <w:t>iloot</w:t>
            </w:r>
            <w:r>
              <w:rPr>
                <w:b w:val="1"/>
                <w:bCs w:val="1"/>
                <w:rtl w:val="0"/>
              </w:rPr>
              <w:t xml:space="preserve">                      </w:t>
            </w:r>
            <w:r>
              <w:rPr>
                <w:b w:val="1"/>
                <w:bCs w:val="1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 xml:space="preserve">                                                                                            </w:t>
            </w:r>
            <w:r>
              <w:rPr>
                <w:b w:val="1"/>
                <w:bCs w:val="1"/>
                <w:rtl w:val="0"/>
              </w:rPr>
              <w:t>(</w:t>
            </w:r>
            <w:r>
              <w:rPr>
                <w:b w:val="1"/>
                <w:bCs w:val="1"/>
                <w:rtl w:val="0"/>
              </w:rPr>
              <w:t>k</w:t>
            </w:r>
            <w:r>
              <w:rPr>
                <w:b w:val="1"/>
                <w:bCs w:val="1"/>
                <w:rtl w:val="0"/>
              </w:rPr>
              <w:t>uud 17-24)</w:t>
            </w:r>
          </w:p>
          <w:p>
            <w:pPr>
              <w:pStyle w:val="Body"/>
            </w:pPr>
            <w:r>
              <w:rPr>
                <w:rtl w:val="0"/>
              </w:rPr>
              <w:t xml:space="preserve">Fookus: Reaaleluline katsetamine ja 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leminek toodangu</w:t>
            </w:r>
            <w:r>
              <w:rPr>
                <w:rtl w:val="0"/>
              </w:rPr>
              <w:t>keskkonda</w:t>
            </w:r>
            <w:r>
              <w:rPr>
                <w:rtl w:val="0"/>
              </w:rPr>
              <w:t>.</w:t>
            </w:r>
          </w:p>
          <w:p>
            <w:pPr>
              <w:pStyle w:val="Body"/>
              <w:numPr>
                <w:ilvl w:val="0"/>
                <w:numId w:val="15"/>
              </w:numPr>
            </w:pPr>
            <w:r>
              <w:rPr>
                <w:rtl w:val="0"/>
              </w:rPr>
              <w:t xml:space="preserve">MaRu pilootprojekti live-demonstratsioon: 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</w:rPr>
              <w:t>he tervikliku menetluse (nt ehitusloa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i detailplaneeringu koosk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lastuse)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biviimine, kus eraettev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tte agent suhtleb riigi agendiga Aruaida kaudu. See valideerib BCG raportis toodud efektiivsuse kasvu h</w:t>
            </w:r>
            <w:r>
              <w:rPr>
                <w:rtl w:val="0"/>
              </w:rPr>
              <w:t>ü</w:t>
            </w:r>
            <w:r>
              <w:rPr>
                <w:rtl w:val="0"/>
                <w:lang w:val="en-US"/>
              </w:rPr>
              <w:t>poteesid [</w:t>
            </w:r>
            <w:r>
              <w:rPr>
                <w:rtl w:val="0"/>
              </w:rPr>
              <w:t>10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  <w:numPr>
                <w:ilvl w:val="0"/>
                <w:numId w:val="15"/>
              </w:numPr>
            </w:pPr>
            <w:r>
              <w:rPr>
                <w:rtl w:val="0"/>
              </w:rPr>
              <w:t>Turvaauditid ja vastavuskontroll: 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steemi testimine vastavalt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Tehisintellekti tegevuskava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usaldusv</w:t>
            </w:r>
            <w:r>
              <w:rPr>
                <w:rtl w:val="0"/>
              </w:rPr>
              <w:t>ää</w:t>
            </w:r>
            <w:r>
              <w:rPr>
                <w:rtl w:val="0"/>
                <w:lang w:val="en-US"/>
              </w:rPr>
              <w:t>rse AI n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uetele (sh </w:t>
            </w:r>
            <w:r>
              <w:rPr>
                <w:i w:val="1"/>
                <w:iCs w:val="1"/>
                <w:rtl w:val="0"/>
                <w:lang w:val="en-US"/>
              </w:rPr>
              <w:t>Red Teaming</w:t>
            </w:r>
            <w:r>
              <w:rPr>
                <w:rtl w:val="0"/>
              </w:rPr>
              <w:t xml:space="preserve"> ja autonoomia piiride testimine) [4].</w:t>
            </w:r>
          </w:p>
          <w:p>
            <w:pPr>
              <w:pStyle w:val="Body"/>
              <w:numPr>
                <w:ilvl w:val="0"/>
                <w:numId w:val="15"/>
              </w:numPr>
            </w:pPr>
            <w:r>
              <w:rPr>
                <w:rtl w:val="0"/>
              </w:rPr>
              <w:t>Dokumentatsioon ja avatud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htekood: Lahenduse publitseerimine avatud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htekoodina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Open Source</w:t>
            </w:r>
            <w:r>
              <w:rPr>
                <w:rtl w:val="0"/>
                <w:lang w:val="fr-FR"/>
              </w:rPr>
              <w:t>), et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imaldada erasektoril ja teistel riikidel sellega liituda (Eesti kui </w:t>
            </w:r>
            <w:r>
              <w:rPr>
                <w:rtl w:val="0"/>
              </w:rPr>
              <w:t>autonoomsete agentidega tegumip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hise riigi</w:t>
            </w:r>
            <w:r>
              <w:rPr>
                <w:rtl w:val="0"/>
              </w:rPr>
              <w:t xml:space="preserve"> teerajaja) [</w:t>
            </w:r>
            <w:r>
              <w:rPr>
                <w:rtl w:val="0"/>
              </w:rPr>
              <w:t>7</w:t>
            </w:r>
            <w:r>
              <w:rPr>
                <w:rtl w:val="0"/>
                <w:lang w:val="pt-PT"/>
              </w:rPr>
              <w:t>].</w:t>
            </w:r>
            <w:r>
              <w:rPr>
                <w:rtl w:val="0"/>
              </w:rPr>
              <w:t xml:space="preserve"> Andmed ja riigi kirjeldatud protsessid teadmusbaasis j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 xml:space="preserve">vad meie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rtuseks</w:t>
            </w:r>
            <w:r>
              <w:rPr>
                <w:rtl w:val="0"/>
              </w:rPr>
              <w:t xml:space="preserve">” </w:t>
            </w:r>
            <w:r>
              <w:rPr>
                <w:rtl w:val="0"/>
              </w:rPr>
              <w:t>ehk 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steemi on 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imalik arendada avatud p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him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tetel nii, et meie konkurentsieelis j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b meie k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tte meie andmete (nt protsessid, reeglid) 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ol.</w:t>
            </w:r>
          </w:p>
          <w:p>
            <w:pPr>
              <w:pStyle w:val="Body"/>
              <w:numPr>
                <w:ilvl w:val="0"/>
                <w:numId w:val="15"/>
              </w:numPr>
            </w:pPr>
            <w:r>
              <w:rPr>
                <w:rtl w:val="0"/>
              </w:rPr>
              <w:t>Tulemus: Valideeritud ja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tav platvorm, mis on valmis laiemaks kasutuselev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tuks.</w:t>
            </w:r>
          </w:p>
          <w:p>
            <w:pPr>
              <w:pStyle w:val="Body"/>
            </w:pPr>
            <w:r>
              <w:rPr>
                <w:b w:val="1"/>
                <w:bCs w:val="1"/>
                <w:rtl w:val="0"/>
              </w:rPr>
              <w:t>Kokku                                                                                                                                       24 kuud</w:t>
            </w:r>
          </w:p>
        </w:tc>
      </w:tr>
    </w:tbl>
    <w:p>
      <w:pPr>
        <w:pStyle w:val="Body"/>
        <w:spacing w:after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46"/>
      </w:tblGrid>
      <w:tr>
        <w:tblPrEx>
          <w:shd w:val="clear" w:color="auto" w:fill="cdd4e9"/>
        </w:tblPrEx>
        <w:trPr>
          <w:trHeight w:val="221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7. Projekti eelarve</w:t>
            </w:r>
          </w:p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Koostage realistlik eelarve detailsusega, mis h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lmab k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nl-NL"/>
              </w:rPr>
              <w:t>iki projekti tegevusi ning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imaldab seel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bi hinnata planeeritud kulude vajalikkust ja m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istlikkust.</w:t>
            </w:r>
          </w:p>
          <w:p>
            <w:pPr>
              <w:pStyle w:val="Body"/>
              <w:numPr>
                <w:ilvl w:val="0"/>
                <w:numId w:val="16"/>
              </w:numPr>
            </w:pPr>
            <w:r>
              <w:rPr>
                <w:shd w:val="nil" w:color="auto" w:fill="auto"/>
                <w:rtl w:val="0"/>
              </w:rPr>
              <w:t>Arvutage eelarves summad kogumaksumusena (st sisaldavad k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iki makse), sh projektijuhi kogukulu.</w:t>
            </w:r>
          </w:p>
          <w:p>
            <w:pPr>
              <w:pStyle w:val="Body"/>
              <w:numPr>
                <w:ilvl w:val="0"/>
                <w:numId w:val="16"/>
              </w:numPr>
            </w:pPr>
            <w:r>
              <w:rPr>
                <w:shd w:val="nil" w:color="auto" w:fill="auto"/>
                <w:rtl w:val="0"/>
              </w:rPr>
              <w:t>Lisage eelarvele kirjeldusena selle kujunemise p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hjendused, arvutuste ja hinnangute alused.</w:t>
            </w:r>
          </w:p>
          <w:p>
            <w:pPr>
              <w:pStyle w:val="Body"/>
              <w:numPr>
                <w:ilvl w:val="0"/>
                <w:numId w:val="16"/>
              </w:numPr>
            </w:pPr>
            <w:r>
              <w:rPr>
                <w:shd w:val="nil" w:color="auto" w:fill="auto"/>
                <w:rtl w:val="0"/>
              </w:rPr>
              <w:t>Eelarve kogusumma palume esitada 1000 euro 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psusega.</w:t>
            </w:r>
          </w:p>
          <w:p>
            <w:pPr>
              <w:pStyle w:val="Body"/>
            </w:pPr>
            <w:r>
              <w:rPr>
                <w:shd w:val="nil" w:color="auto" w:fill="auto"/>
                <w:rtl w:val="0"/>
              </w:rPr>
              <w:t>Kohandage eelarvetabelit oma projekti vajadustele vastavaks.</w:t>
            </w:r>
          </w:p>
        </w:tc>
      </w:tr>
      <w:tr>
        <w:tblPrEx>
          <w:shd w:val="clear" w:color="auto" w:fill="cdd4e9"/>
        </w:tblPrEx>
        <w:trPr>
          <w:trHeight w:val="817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nl-NL"/>
              </w:rPr>
              <w:t>Eelarve on koostatud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rgiga tagada RIA-le tugev targa tellija ja tehnilise j</w:t>
            </w:r>
            <w:r>
              <w:rPr>
                <w:rtl w:val="0"/>
              </w:rPr>
              <w:t>ä</w:t>
            </w:r>
            <w:r>
              <w:rPr>
                <w:rtl w:val="0"/>
                <w:lang w:val="nl-NL"/>
              </w:rPr>
              <w:t>relevalve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imekus. Selleks on projekti meeskonda planeeritud lisaks juhile ja arhitektile ka sisemine arendusjuht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Lead Engineer</w:t>
            </w:r>
            <w:r>
              <w:rPr>
                <w:rtl w:val="0"/>
                <w:lang w:val="da-DK"/>
              </w:rPr>
              <w:t>), kes tagab, et partnerite loodud kood vastab riigi n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uetele ja on turvaline.</w:t>
            </w:r>
          </w:p>
          <w:p>
            <w:pPr>
              <w:pStyle w:val="Body"/>
              <w:numPr>
                <w:ilvl w:val="0"/>
                <w:numId w:val="17"/>
              </w:numPr>
            </w:pPr>
            <w:r>
              <w:rPr>
                <w:rtl w:val="0"/>
              </w:rPr>
              <w:t>RIA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j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ukulud: Sisaldab kolme tippspetsialisti (projektijuht, arhitekt, arendusjuht) palgafondi 24 kuuks. Arendusjuhi roll on kriitiline, et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ltida tarnija lukku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vendor lock-in</w:t>
            </w:r>
            <w:r>
              <w:rPr>
                <w:rtl w:val="0"/>
              </w:rPr>
              <w:t>) ja valideerida partnerite tarnitud komponente [</w:t>
            </w:r>
            <w:r>
              <w:rPr>
                <w:rtl w:val="0"/>
              </w:rPr>
              <w:t>7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  <w:numPr>
                <w:ilvl w:val="0"/>
                <w:numId w:val="17"/>
              </w:numPr>
            </w:pPr>
            <w:r>
              <w:rPr>
                <w:rtl w:val="0"/>
              </w:rPr>
              <w:t>Hanked: Suuremahuline koodikirjutamine ja eriteadmised (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igus, teadus) ostetakse sisse, kuid strateegiline kontroll p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sib majas.</w:t>
            </w:r>
          </w:p>
          <w:p>
            <w:pPr>
              <w:pStyle w:val="Body"/>
            </w:pPr>
          </w:p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nl-NL"/>
              </w:rPr>
              <w:t>Tegevused</w:t>
            </w:r>
            <w:r>
              <w:rPr>
                <w:b w:val="1"/>
                <w:bCs w:val="1"/>
                <w:rtl w:val="0"/>
              </w:rPr>
              <w:t xml:space="preserve">                                                                               </w:t>
            </w:r>
            <w:r>
              <w:rPr>
                <w:b w:val="1"/>
                <w:bCs w:val="1"/>
                <w:rtl w:val="0"/>
              </w:rPr>
              <w:t>RIA            Partnerid</w:t>
            </w:r>
            <w:r>
              <w:rPr>
                <w:b w:val="1"/>
                <w:bCs w:val="1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 xml:space="preserve">    </w:t>
            </w:r>
            <w:r>
              <w:rPr>
                <w:b w:val="1"/>
                <w:bCs w:val="1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 xml:space="preserve">     Kokku</w:t>
            </w:r>
          </w:p>
          <w:p>
            <w:pPr>
              <w:pStyle w:val="Body"/>
            </w:pPr>
            <w:r>
              <w:rPr>
                <w:rtl w:val="0"/>
              </w:rPr>
              <w:t>1. Projekti juhtimine ja tehniline tuumik</w:t>
            </w:r>
            <w:r>
              <w:rPr>
                <w:rtl w:val="0"/>
              </w:rPr>
              <w:t xml:space="preserve">                                360 000 </w:t>
            </w:r>
            <w:r>
              <w:rPr>
                <w:rtl w:val="0"/>
              </w:rPr>
              <w:t xml:space="preserve">€             </w:t>
            </w:r>
            <w:r>
              <w:rPr>
                <w:rtl w:val="0"/>
              </w:rPr>
              <w:t>-               360 000</w:t>
            </w:r>
            <w:r>
              <w:rPr>
                <w:rtl w:val="0"/>
              </w:rPr>
              <w:t>€</w:t>
            </w:r>
          </w:p>
          <w:p>
            <w:pPr>
              <w:pStyle w:val="Body"/>
            </w:pPr>
            <w:r>
              <w:rPr>
                <w:rtl w:val="0"/>
                <w:lang w:val="nl-NL"/>
              </w:rPr>
              <w:t xml:space="preserve">RIA meeskond (3 in: projektijuht, arhitekt, arendusjuht) 24 kuuks. Arendusjuht vastutab code review, repositooriumite halduse ja tehnilise kvaliteedi eest. See tagab, et loodav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suver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nne kiht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on j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tkusuutlik ka p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rast projekti l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it-IT"/>
              </w:rPr>
              <w:t>ppu.</w:t>
            </w:r>
          </w:p>
          <w:p>
            <w:pPr>
              <w:pStyle w:val="Body"/>
            </w:pPr>
            <w:r>
              <w:rPr>
                <w:rtl w:val="0"/>
              </w:rPr>
              <w:t xml:space="preserve">2. </w:t>
            </w:r>
            <w:r>
              <w:rPr>
                <w:rtl w:val="0"/>
              </w:rPr>
              <w:t>“</w:t>
            </w:r>
            <w:r>
              <w:rPr>
                <w:rtl w:val="0"/>
                <w:lang w:val="fr-FR"/>
              </w:rPr>
              <w:t>Suver</w:t>
            </w:r>
            <w:r>
              <w:rPr>
                <w:rtl w:val="0"/>
              </w:rPr>
              <w:t>ää</w:t>
            </w:r>
            <w:r>
              <w:rPr>
                <w:rtl w:val="0"/>
                <w:lang w:val="nl-NL"/>
              </w:rPr>
              <w:t>nse halduskihi</w:t>
            </w:r>
            <w:r>
              <w:rPr>
                <w:rtl w:val="0"/>
              </w:rPr>
              <w:t>”</w:t>
            </w:r>
            <w:r>
              <w:rPr>
                <w:rtl w:val="0"/>
                <w:lang w:val="da-DK"/>
              </w:rPr>
              <w:t xml:space="preserve"> vundamendi arendus</w:t>
            </w:r>
            <w:r>
              <w:rPr>
                <w:rtl w:val="0"/>
              </w:rPr>
              <w:t xml:space="preserve">                    - </w:t>
            </w:r>
            <w:r>
              <w:rPr>
                <w:rtl w:val="0"/>
              </w:rPr>
              <w:t xml:space="preserve">€              </w:t>
            </w:r>
            <w:r>
              <w:rPr>
                <w:rtl w:val="0"/>
              </w:rPr>
              <w:t xml:space="preserve">260 000 </w:t>
            </w:r>
            <w:r>
              <w:rPr>
                <w:rtl w:val="0"/>
              </w:rPr>
              <w:t xml:space="preserve">€      </w:t>
            </w:r>
            <w:r>
              <w:rPr>
                <w:rtl w:val="0"/>
              </w:rPr>
              <w:t xml:space="preserve">260 000 </w:t>
            </w:r>
            <w:r>
              <w:rPr>
                <w:rtl w:val="0"/>
              </w:rPr>
              <w:t>€</w:t>
            </w:r>
          </w:p>
          <w:p>
            <w:pPr>
              <w:pStyle w:val="Body"/>
            </w:pPr>
            <w:r>
              <w:rPr>
                <w:rtl w:val="0"/>
              </w:rPr>
              <w:t>Hange: Keskse orkestreerimismootori ja registrite bulk-arendus. Kuna RIA-s on n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>d tugevam tehniline kompetents, saab hanke fookust suunata spetsiifilistele moodulitele, v</w:t>
            </w:r>
            <w:r>
              <w:rPr>
                <w:rtl w:val="0"/>
              </w:rPr>
              <w:t>ä</w:t>
            </w:r>
            <w:r>
              <w:rPr>
                <w:rtl w:val="0"/>
                <w:lang w:val="pt-PT"/>
              </w:rPr>
              <w:t>hendades v</w:t>
            </w:r>
            <w:r>
              <w:rPr>
                <w:rtl w:val="0"/>
              </w:rPr>
              <w:t>ä</w:t>
            </w:r>
            <w:r>
              <w:rPr>
                <w:rtl w:val="0"/>
                <w:lang w:val="fr-FR"/>
              </w:rPr>
              <w:t xml:space="preserve">lise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musta kasti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riski [</w:t>
            </w:r>
            <w:r>
              <w:rPr>
                <w:rtl w:val="0"/>
              </w:rPr>
              <w:t>8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</w:pPr>
            <w:r>
              <w:rPr>
                <w:rtl w:val="0"/>
              </w:rPr>
              <w:t>3. Pilootlahenduse juurutamine (Maa- ja Ruumiamet)</w:t>
            </w:r>
            <w:r>
              <w:rPr>
                <w:rtl w:val="0"/>
              </w:rPr>
              <w:t xml:space="preserve">             - </w:t>
            </w:r>
            <w:r>
              <w:rPr>
                <w:rtl w:val="0"/>
              </w:rPr>
              <w:t xml:space="preserve">€              </w:t>
            </w:r>
            <w:r>
              <w:rPr>
                <w:rtl w:val="0"/>
              </w:rPr>
              <w:t xml:space="preserve">250 000 </w:t>
            </w:r>
            <w:r>
              <w:rPr>
                <w:rtl w:val="0"/>
              </w:rPr>
              <w:t xml:space="preserve">€      </w:t>
            </w:r>
            <w:r>
              <w:rPr>
                <w:rtl w:val="0"/>
              </w:rPr>
              <w:t xml:space="preserve">250 000 </w:t>
            </w:r>
            <w:r>
              <w:rPr>
                <w:rtl w:val="0"/>
              </w:rPr>
              <w:t>€</w:t>
            </w:r>
          </w:p>
          <w:p>
            <w:pPr>
              <w:pStyle w:val="Body"/>
            </w:pPr>
            <w:r>
              <w:rPr>
                <w:rtl w:val="0"/>
              </w:rPr>
              <w:t>Hange: Konkreetse kasutusloo (nt ehitusloa agendid) programmeerimine ja liidestamine partnerasutusega. Sisaldab reeglimootori (Rules-as-Code) seadistamist.</w:t>
            </w:r>
          </w:p>
          <w:p>
            <w:pPr>
              <w:pStyle w:val="Body"/>
            </w:pPr>
            <w:r>
              <w:rPr>
                <w:rtl w:val="0"/>
              </w:rPr>
              <w:t xml:space="preserve">4. 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igusanal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>s ja standardid (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Identiteet 2.0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>)</w:t>
            </w:r>
            <w:r>
              <w:rPr>
                <w:rtl w:val="0"/>
              </w:rPr>
              <w:t xml:space="preserve">                      - </w:t>
            </w:r>
            <w:r>
              <w:rPr>
                <w:rtl w:val="0"/>
              </w:rPr>
              <w:t xml:space="preserve">€                </w:t>
            </w:r>
            <w:r>
              <w:rPr>
                <w:rtl w:val="0"/>
              </w:rPr>
              <w:t xml:space="preserve">85 000 </w:t>
            </w:r>
            <w:r>
              <w:rPr>
                <w:rtl w:val="0"/>
              </w:rPr>
              <w:t xml:space="preserve">€        </w:t>
            </w:r>
            <w:r>
              <w:rPr>
                <w:rtl w:val="0"/>
              </w:rPr>
              <w:t xml:space="preserve">85 000 </w:t>
            </w:r>
            <w:r>
              <w:rPr>
                <w:rtl w:val="0"/>
              </w:rPr>
              <w:t>€</w:t>
            </w:r>
          </w:p>
          <w:p>
            <w:pPr>
              <w:pStyle w:val="Body"/>
            </w:pPr>
            <w:r>
              <w:rPr>
                <w:rtl w:val="0"/>
                <w:lang w:val="de-DE"/>
              </w:rPr>
              <w:t xml:space="preserve">Hange: </w:t>
            </w:r>
            <w:r>
              <w:rPr>
                <w:rtl w:val="0"/>
              </w:rPr>
              <w:t>“</w:t>
            </w:r>
            <w:r>
              <w:rPr>
                <w:rtl w:val="0"/>
                <w:lang w:val="en-US"/>
              </w:rPr>
              <w:t>Volitatud masin-identiteedi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tehniline ja juriidiline anal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 xml:space="preserve">s. Fikseeritud summa tagab kvaliteetse sisendi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igusloomesse.</w:t>
            </w:r>
          </w:p>
          <w:p>
            <w:pPr>
              <w:pStyle w:val="Body"/>
            </w:pPr>
            <w:r>
              <w:rPr>
                <w:rtl w:val="0"/>
              </w:rPr>
              <w:t xml:space="preserve">5. </w:t>
            </w:r>
            <w:r>
              <w:rPr>
                <w:rtl w:val="0"/>
              </w:rPr>
              <w:t>Ö</w:t>
            </w:r>
            <w:r>
              <w:rPr>
                <w:rtl w:val="0"/>
              </w:rPr>
              <w:t>kos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steem ja infovahetus</w:t>
            </w:r>
            <w:r>
              <w:rPr>
                <w:rtl w:val="0"/>
              </w:rPr>
              <w:t xml:space="preserve">                                                 - </w:t>
            </w:r>
            <w:r>
              <w:rPr>
                <w:rtl w:val="0"/>
              </w:rPr>
              <w:t xml:space="preserve">€                </w:t>
            </w:r>
            <w:r>
              <w:rPr>
                <w:rtl w:val="0"/>
              </w:rPr>
              <w:t xml:space="preserve">45 000 </w:t>
            </w:r>
            <w:r>
              <w:rPr>
                <w:rtl w:val="0"/>
              </w:rPr>
              <w:t xml:space="preserve">€        </w:t>
            </w:r>
            <w:r>
              <w:rPr>
                <w:rtl w:val="0"/>
              </w:rPr>
              <w:t xml:space="preserve">45 000 </w:t>
            </w:r>
            <w:r>
              <w:rPr>
                <w:rtl w:val="0"/>
              </w:rPr>
              <w:t>€</w:t>
            </w:r>
          </w:p>
          <w:p>
            <w:pPr>
              <w:pStyle w:val="Body"/>
            </w:pPr>
            <w:r>
              <w:rPr>
                <w:rtl w:val="0"/>
              </w:rPr>
              <w:t>Hange/Kulu: Kogukonna kaasamine, h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katonid, konverentsid. Oluline </w:t>
            </w:r>
            <w:r>
              <w:rPr>
                <w:rtl w:val="0"/>
              </w:rPr>
              <w:t>“</w:t>
            </w:r>
            <w:r>
              <w:rPr>
                <w:rtl w:val="0"/>
                <w:lang w:val="en-US"/>
              </w:rPr>
              <w:t>Agentic State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visiooni levitamiseks ja erasektori kaasamiseks.</w:t>
            </w:r>
          </w:p>
          <w:p>
            <w:pPr>
              <w:pStyle w:val="Body"/>
              <w:rPr>
                <w:b w:val="1"/>
                <w:bCs w:val="1"/>
              </w:rPr>
            </w:pPr>
          </w:p>
          <w:p>
            <w:pPr>
              <w:pStyle w:val="Body"/>
            </w:pPr>
            <w:r>
              <w:rPr>
                <w:b w:val="1"/>
                <w:bCs w:val="1"/>
                <w:rtl w:val="0"/>
              </w:rPr>
              <w:t>KOKKU</w:t>
            </w:r>
            <w:r>
              <w:rPr>
                <w:b w:val="1"/>
                <w:bCs w:val="1"/>
                <w:rtl w:val="0"/>
              </w:rPr>
              <w:t xml:space="preserve">                                                                               360</w:t>
            </w:r>
            <w:r>
              <w:rPr>
                <w:b w:val="1"/>
                <w:bCs w:val="1"/>
                <w:rtl w:val="0"/>
              </w:rPr>
              <w:t xml:space="preserve"> 000</w:t>
            </w:r>
            <w:r>
              <w:rPr>
                <w:b w:val="1"/>
                <w:bCs w:val="1"/>
                <w:rtl w:val="0"/>
              </w:rPr>
              <w:t xml:space="preserve"> €    </w:t>
            </w:r>
            <w:r>
              <w:rPr>
                <w:b w:val="1"/>
                <w:bCs w:val="1"/>
                <w:rtl w:val="0"/>
              </w:rPr>
              <w:t xml:space="preserve">   </w:t>
            </w:r>
            <w:r>
              <w:rPr>
                <w:b w:val="1"/>
                <w:bCs w:val="1"/>
                <w:rtl w:val="0"/>
              </w:rPr>
              <w:t>64</w:t>
            </w:r>
            <w:r>
              <w:rPr>
                <w:b w:val="1"/>
                <w:bCs w:val="1"/>
                <w:rtl w:val="0"/>
              </w:rPr>
              <w:t>0 000</w:t>
            </w:r>
            <w:r>
              <w:rPr>
                <w:b w:val="1"/>
                <w:bCs w:val="1"/>
                <w:rtl w:val="0"/>
              </w:rPr>
              <w:t xml:space="preserve"> €</w:t>
            </w:r>
            <w:r>
              <w:rPr>
                <w:b w:val="1"/>
                <w:bCs w:val="1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</w:rPr>
              <w:t xml:space="preserve">  </w:t>
            </w:r>
            <w:r>
              <w:rPr>
                <w:b w:val="1"/>
                <w:bCs w:val="1"/>
                <w:rtl w:val="0"/>
              </w:rPr>
              <w:t xml:space="preserve"> 1 000 000</w:t>
            </w:r>
            <w:r>
              <w:rPr>
                <w:b w:val="1"/>
                <w:bCs w:val="1"/>
                <w:rtl w:val="0"/>
              </w:rPr>
              <w:t xml:space="preserve"> €</w:t>
            </w:r>
          </w:p>
        </w:tc>
      </w:tr>
    </w:tbl>
    <w:p>
      <w:pPr>
        <w:pStyle w:val="Body"/>
        <w:spacing w:after="0"/>
      </w:pPr>
    </w:p>
    <w:p>
      <w:pPr>
        <w:pStyle w:val="Body"/>
        <w:spacing w:after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46"/>
      </w:tblGrid>
      <w:tr>
        <w:tblPrEx>
          <w:shd w:val="clear" w:color="auto" w:fill="cdd4e9"/>
        </w:tblPrEx>
        <w:trPr>
          <w:trHeight w:val="149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8.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imalikud lahenduste pakkujad</w:t>
            </w:r>
            <w:r>
              <w:rPr>
                <w:shd w:val="nil" w:color="auto" w:fill="auto"/>
                <w:rtl w:val="0"/>
              </w:rPr>
              <w:t> </w:t>
            </w:r>
          </w:p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Tooge v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lja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imalikud hankepartnerid, kes soovitud lahendussuunas tooteid/ teenuseid/ pakuvad.</w:t>
            </w:r>
          </w:p>
          <w:p>
            <w:pPr>
              <w:pStyle w:val="Body"/>
              <w:numPr>
                <w:ilvl w:val="0"/>
                <w:numId w:val="18"/>
              </w:numPr>
            </w:pPr>
            <w:r>
              <w:rPr>
                <w:shd w:val="nil" w:color="auto" w:fill="auto"/>
                <w:rtl w:val="0"/>
                <w:lang w:val="de-DE"/>
              </w:rPr>
              <w:t>Otsige ja nimetage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nl-NL"/>
              </w:rPr>
              <w:t>imalikke probleemile lahenduste pakkujaid (nt erinevate valdkondade eksperdid, teadlased, ettev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nl-NL"/>
              </w:rPr>
              <w:t>tted, kes on probleemi lahendamisega varasemalt tegelenud).</w:t>
            </w:r>
          </w:p>
          <w:p>
            <w:pPr>
              <w:pStyle w:val="Body"/>
            </w:pPr>
            <w:r>
              <w:rPr>
                <w:i w:val="1"/>
                <w:iCs w:val="1"/>
                <w:shd w:val="nil" w:color="auto" w:fill="auto"/>
                <w:rtl w:val="0"/>
              </w:rPr>
              <w:t>M</w:t>
            </w:r>
            <w:r>
              <w:rPr>
                <w:i w:val="1"/>
                <w:iCs w:val="1"/>
                <w:shd w:val="nil" w:color="auto" w:fill="auto"/>
                <w:rtl w:val="0"/>
                <w:lang w:val="pt-PT"/>
              </w:rPr>
              <w:t>õ</w:t>
            </w:r>
            <w:r>
              <w:rPr>
                <w:i w:val="1"/>
                <w:iCs w:val="1"/>
                <w:shd w:val="nil" w:color="auto" w:fill="auto"/>
                <w:rtl w:val="0"/>
              </w:rPr>
              <w:t>elge nii Eesti kui rahvusvaheliste pakkujate peale.</w:t>
            </w:r>
          </w:p>
        </w:tc>
      </w:tr>
      <w:tr>
        <w:tblPrEx>
          <w:shd w:val="clear" w:color="auto" w:fill="cdd4e9"/>
        </w:tblPrEx>
        <w:trPr>
          <w:trHeight w:val="625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>Projekti partnerite valikul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htume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targa tellija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him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ttest, kombineerides globaalseid tehnoloogialiidreid, riiklikku teaduskompetentsi ja strateegilist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liskoost</w:t>
            </w:r>
            <w:r>
              <w:rPr>
                <w:rtl w:val="0"/>
              </w:rPr>
              <w:t>öö</w:t>
            </w:r>
            <w:r>
              <w:rPr>
                <w:rtl w:val="0"/>
                <w:lang w:val="fr-FR"/>
              </w:rPr>
              <w:t>d, et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ltida tarnija lukku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vendor lock-in</w:t>
            </w:r>
            <w:r>
              <w:rPr>
                <w:rtl w:val="0"/>
              </w:rPr>
              <w:t>) ja tagada lahenduse suver</w:t>
            </w:r>
            <w:r>
              <w:rPr>
                <w:rtl w:val="0"/>
              </w:rPr>
              <w:t>ää</w:t>
            </w:r>
            <w:r>
              <w:rPr>
                <w:rtl w:val="0"/>
                <w:lang w:val="pt-PT"/>
              </w:rPr>
              <w:t>nsus.</w:t>
            </w:r>
          </w:p>
          <w:p>
            <w:pPr>
              <w:pStyle w:val="Body"/>
            </w:pPr>
            <w:r>
              <w:rPr>
                <w:rtl w:val="0"/>
              </w:rPr>
              <w:t>1. Strateegiline v</w:t>
            </w:r>
            <w:r>
              <w:rPr>
                <w:rtl w:val="0"/>
              </w:rPr>
              <w:t>ä</w:t>
            </w:r>
            <w:r>
              <w:rPr>
                <w:rtl w:val="0"/>
                <w:lang w:val="de-DE"/>
              </w:rPr>
              <w:t>lispartnerlus (</w:t>
            </w:r>
            <w:r>
              <w:rPr>
                <w:rtl w:val="0"/>
              </w:rPr>
              <w:t>k</w:t>
            </w:r>
            <w:r>
              <w:rPr>
                <w:rtl w:val="0"/>
              </w:rPr>
              <w:t>omponentide taaskasutus):</w:t>
            </w:r>
          </w:p>
          <w:p>
            <w:pPr>
              <w:pStyle w:val="Body"/>
              <w:numPr>
                <w:ilvl w:val="0"/>
                <w:numId w:val="19"/>
              </w:numPr>
            </w:pPr>
            <w:r>
              <w:rPr>
                <w:rtl w:val="0"/>
              </w:rPr>
              <w:t xml:space="preserve">Ukraina Digiministeerium (Diia 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</w:rPr>
              <w:t>kos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steem)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 xml:space="preserve"> Ukraina on </w:t>
            </w:r>
            <w:r>
              <w:rPr>
                <w:rtl w:val="0"/>
              </w:rPr>
              <w:t>“</w:t>
            </w:r>
            <w:r>
              <w:rPr>
                <w:i w:val="1"/>
                <w:iCs w:val="1"/>
                <w:rtl w:val="0"/>
                <w:lang w:val="en-US"/>
              </w:rPr>
              <w:t>Agentic State</w:t>
            </w:r>
            <w:r>
              <w:rPr>
                <w:i w:val="1"/>
                <w:iCs w:val="1"/>
                <w:rtl w:val="0"/>
              </w:rPr>
              <w:t>”</w:t>
            </w:r>
            <w:r>
              <w:rPr>
                <w:rtl w:val="0"/>
              </w:rPr>
              <w:t xml:space="preserve"> visiooni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ks teerajajaid, olles lansseerinud maailma esimese riikliku digiagendi (Diia.AI) [</w:t>
            </w:r>
            <w:r>
              <w:rPr>
                <w:rtl w:val="0"/>
              </w:rPr>
              <w:t>7</w:t>
            </w:r>
            <w:r>
              <w:rPr>
                <w:rtl w:val="0"/>
                <w:lang w:val="nl-NL"/>
              </w:rPr>
              <w:t>]. Koost</w:t>
            </w:r>
            <w:r>
              <w:rPr>
                <w:rtl w:val="0"/>
              </w:rPr>
              <w:t xml:space="preserve">öö </w:t>
            </w:r>
            <w:r>
              <w:rPr>
                <w:rtl w:val="0"/>
                <w:lang w:val="nl-NL"/>
              </w:rPr>
              <w:t>eesm</w:t>
            </w:r>
            <w:r>
              <w:rPr>
                <w:rtl w:val="0"/>
              </w:rPr>
              <w:t>ä</w:t>
            </w:r>
            <w:r>
              <w:rPr>
                <w:rtl w:val="0"/>
                <w:lang w:val="en-US"/>
              </w:rPr>
              <w:t>rk on anal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>sida Diia arhitektuuri ja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imalusel taaskasutada nende front-end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 orkestreerimise komponente, et kiirendada Aruaida arendust ja tagada koostalitusv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 piiri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leste teenuste jaoks.</w:t>
            </w:r>
          </w:p>
          <w:p>
            <w:pPr>
              <w:pStyle w:val="Body"/>
            </w:pPr>
            <w:r>
              <w:rPr>
                <w:rtl w:val="0"/>
              </w:rPr>
              <w:t>2. Tehnoloogiapartnerid (mudelid ja taristu):</w:t>
            </w:r>
          </w:p>
          <w:p>
            <w:pPr>
              <w:pStyle w:val="Body"/>
              <w:numPr>
                <w:ilvl w:val="0"/>
                <w:numId w:val="19"/>
              </w:numPr>
            </w:pPr>
            <w:r>
              <w:rPr>
                <w:rtl w:val="0"/>
              </w:rPr>
              <w:t>Mistral AI (Euroopa juhtiv</w:t>
            </w:r>
            <w:r>
              <w:rPr>
                <w:rtl w:val="0"/>
              </w:rPr>
              <w:t xml:space="preserve"> tehisarutehnoloogiaid arendav</w:t>
            </w:r>
            <w:r>
              <w:rPr>
                <w:rtl w:val="0"/>
              </w:rPr>
              <w:t xml:space="preserve"> 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te) on kriitiline partner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suver</w:t>
            </w:r>
            <w:r>
              <w:rPr>
                <w:rtl w:val="0"/>
              </w:rPr>
              <w:t>ää</w:t>
            </w:r>
            <w:r>
              <w:rPr>
                <w:rtl w:val="0"/>
                <w:lang w:val="nl-NL"/>
              </w:rPr>
              <w:t>nse halduskihi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tagamiseks, pakkudes avatud kaaludega (open weights) mudeleid, mida saab jooksutada Eesti riigipilves (ilma andmeid riigist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lja saatmata).</w:t>
            </w:r>
            <w:r>
              <w:rPr>
                <w:rtl w:val="0"/>
              </w:rPr>
              <w:t xml:space="preserve"> Ettev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 xml:space="preserve">te </w:t>
            </w:r>
            <w:r>
              <w:rPr>
                <w:rtl w:val="0"/>
              </w:rPr>
              <w:t>on ilmutanud huvi projektis osalemise vastu.</w:t>
            </w:r>
          </w:p>
          <w:p>
            <w:pPr>
              <w:pStyle w:val="Body"/>
              <w:numPr>
                <w:ilvl w:val="0"/>
                <w:numId w:val="19"/>
              </w:numPr>
            </w:pPr>
            <w:r>
              <w:rPr>
                <w:rtl w:val="0"/>
              </w:rPr>
              <w:t>Microsoft pakub 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tte tasemel (enterprise-grade) skaleeritavust ja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 xml:space="preserve">riistu, mis on vajalikud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Tehisintellekti tegevuskava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rkide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itmiseks avaliku sektori efektiivsuse 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stmisel [4].</w:t>
            </w:r>
          </w:p>
          <w:p>
            <w:pPr>
              <w:pStyle w:val="Body"/>
            </w:pPr>
            <w:r>
              <w:rPr>
                <w:rtl w:val="0"/>
              </w:rPr>
              <w:t xml:space="preserve">3. Teadus- ja arenduspartnerid (Usaldus ja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igus):</w:t>
            </w:r>
          </w:p>
          <w:p>
            <w:pPr>
              <w:pStyle w:val="Body"/>
              <w:numPr>
                <w:ilvl w:val="0"/>
                <w:numId w:val="19"/>
              </w:numPr>
            </w:pPr>
            <w:r>
              <w:rPr>
                <w:rtl w:val="0"/>
              </w:rPr>
              <w:t>Eesti tehisintellekti tippkeskus (EXAI</w:t>
            </w:r>
            <w:r>
              <w:rPr>
                <w:rtl w:val="0"/>
              </w:rPr>
              <w:t xml:space="preserve"> - </w:t>
            </w:r>
            <w:r>
              <w:rPr>
                <w:rtl w:val="0"/>
                <w:lang w:val="it-IT"/>
              </w:rPr>
              <w:t xml:space="preserve">TalTech, Tartu 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en-US"/>
              </w:rPr>
              <w:t>likool, Cybernetica). Nende roll on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lja t</w:t>
            </w:r>
            <w:r>
              <w:rPr>
                <w:rtl w:val="0"/>
              </w:rPr>
              <w:t>öö</w:t>
            </w:r>
            <w:r>
              <w:rPr>
                <w:rtl w:val="0"/>
                <w:lang w:val="pt-PT"/>
              </w:rPr>
              <w:t xml:space="preserve">tada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Identiteet 2.0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kr</w:t>
            </w:r>
            <w:r>
              <w:rPr>
                <w:rtl w:val="0"/>
              </w:rPr>
              <w:t>ü</w:t>
            </w:r>
            <w:r>
              <w:rPr>
                <w:rtl w:val="0"/>
                <w:lang w:val="en-US"/>
              </w:rPr>
              <w:t xml:space="preserve">ptograafilised alused ja tagada, et lahendus vastab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Valge raamatu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usaldusv</w:t>
            </w:r>
            <w:r>
              <w:rPr>
                <w:rtl w:val="0"/>
              </w:rPr>
              <w:t>ää</w:t>
            </w:r>
            <w:r>
              <w:rPr>
                <w:rtl w:val="0"/>
                <w:lang w:val="en-US"/>
              </w:rPr>
              <w:t>rse AI n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uetele [3]. Cybernetica pikaajaline kogemus X-teega on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de-DE"/>
              </w:rPr>
              <w:t>tmet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htsusega uue andmevahetusprotokolli loomisel.</w:t>
            </w:r>
            <w:r>
              <w:rPr>
                <w:rtl w:val="0"/>
              </w:rPr>
              <w:t xml:space="preserve"> Samuti on teaduspartneril 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 xml:space="preserve">imekust teostada 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igusanal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>si.</w:t>
            </w:r>
          </w:p>
          <w:p>
            <w:pPr>
              <w:pStyle w:val="Body"/>
            </w:pPr>
            <w:r>
              <w:rPr>
                <w:rtl w:val="0"/>
              </w:rPr>
              <w:t>4. Rakenduspartnerid (S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vatehnoloogia ja liidestused):</w:t>
            </w:r>
          </w:p>
          <w:p>
            <w:pPr>
              <w:pStyle w:val="Body"/>
              <w:numPr>
                <w:ilvl w:val="0"/>
                <w:numId w:val="19"/>
              </w:numPr>
            </w:pPr>
            <w:r>
              <w:rPr>
                <w:rtl w:val="0"/>
              </w:rPr>
              <w:t>Eesti 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vatehnoloogia 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tted (nt MindTitan, Rootcode</w:t>
            </w:r>
            <w:r>
              <w:rPr>
                <w:rtl w:val="0"/>
              </w:rPr>
              <w:t>, STACC</w:t>
            </w:r>
            <w:r>
              <w:rPr>
                <w:rtl w:val="0"/>
              </w:rPr>
              <w:t xml:space="preserve"> jt)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bi innovatsioonihanke kaasatavad partnerid, kellel on kogemus </w:t>
            </w:r>
            <w:r>
              <w:rPr>
                <w:rtl w:val="0"/>
              </w:rPr>
              <w:t xml:space="preserve">kohandatud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tsepalahenduste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ehitamisel</w:t>
            </w:r>
            <w:r>
              <w:rPr>
                <w:rtl w:val="0"/>
              </w:rPr>
              <w:t xml:space="preserve"> tehisaruvaldkonnas</w:t>
            </w:r>
            <w:r>
              <w:rPr>
                <w:rtl w:val="0"/>
                <w:lang w:val="de-DE"/>
              </w:rPr>
              <w:t xml:space="preserve">. Nende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lesanne on ehitada valmis konkreetsed agendid (nt MaRu menetlusagendid), mis suudavad </w:t>
            </w:r>
            <w:r>
              <w:rPr>
                <w:rtl w:val="0"/>
              </w:rPr>
              <w:t>“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it-IT"/>
              </w:rPr>
              <w:t>ppida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ja kohaneda t</w:t>
            </w:r>
            <w:r>
              <w:rPr>
                <w:rtl w:val="0"/>
              </w:rPr>
              <w:t>öö</w:t>
            </w:r>
            <w:r>
              <w:rPr>
                <w:rtl w:val="0"/>
                <w:lang w:val="nl-NL"/>
              </w:rPr>
              <w:t>voogudega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htlasi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lditakse </w:t>
            </w:r>
            <w:r>
              <w:rPr>
                <w:rtl w:val="0"/>
              </w:rPr>
              <w:t xml:space="preserve">staatiliste ja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rumalate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lahenduste loomist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  <w:lang w:val="pt-PT"/>
              </w:rPr>
              <w:t>[</w:t>
            </w:r>
            <w:r>
              <w:rPr>
                <w:rtl w:val="0"/>
              </w:rPr>
              <w:t>9</w:t>
            </w:r>
            <w:r>
              <w:rPr>
                <w:rtl w:val="0"/>
                <w:lang w:val="pt-PT"/>
              </w:rPr>
              <w:t>].</w:t>
            </w:r>
          </w:p>
        </w:tc>
      </w:tr>
    </w:tbl>
    <w:p>
      <w:pPr>
        <w:pStyle w:val="Body"/>
        <w:spacing w:after="0"/>
      </w:pPr>
    </w:p>
    <w:p>
      <w:pPr>
        <w:pStyle w:val="Body"/>
        <w:spacing w:after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46"/>
      </w:tblGrid>
      <w:tr>
        <w:tblPrEx>
          <w:shd w:val="clear" w:color="auto" w:fill="cdd4e9"/>
        </w:tblPrEx>
        <w:trPr>
          <w:trHeight w:val="297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9. Projekti meeskond ja t</w:t>
            </w:r>
            <w:r>
              <w:rPr>
                <w:shd w:val="nil" w:color="auto" w:fill="auto"/>
                <w:rtl w:val="0"/>
              </w:rPr>
              <w:t>öö</w:t>
            </w:r>
            <w:r>
              <w:rPr>
                <w:shd w:val="nil" w:color="auto" w:fill="auto"/>
                <w:rtl w:val="0"/>
                <w:lang w:val="nl-NL"/>
              </w:rPr>
              <w:t>korraldus</w:t>
            </w:r>
          </w:p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Tooge v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lja projekti edukaks elluviimiseks kaasatavad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 vajalikud osapooled (asutused ja/v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pt-PT"/>
              </w:rPr>
              <w:t>i inimesed) ning 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 xml:space="preserve">iendav ekspertiis, mida meeskonda juurde vajate.  </w:t>
            </w:r>
          </w:p>
          <w:p>
            <w:pPr>
              <w:pStyle w:val="Body"/>
              <w:numPr>
                <w:ilvl w:val="0"/>
                <w:numId w:val="20"/>
              </w:numPr>
            </w:pPr>
            <w:r>
              <w:rPr>
                <w:shd w:val="nil" w:color="auto" w:fill="auto"/>
                <w:rtl w:val="0"/>
              </w:rPr>
              <w:t>Kirjeldage rollide ja t</w:t>
            </w:r>
            <w:r>
              <w:rPr>
                <w:shd w:val="nil" w:color="auto" w:fill="auto"/>
                <w:rtl w:val="0"/>
              </w:rPr>
              <w:t xml:space="preserve">öö </w:t>
            </w:r>
            <w:r>
              <w:rPr>
                <w:shd w:val="nil" w:color="auto" w:fill="auto"/>
                <w:rtl w:val="0"/>
              </w:rPr>
              <w:t>jaotust projektimeeskonnas.</w:t>
            </w:r>
          </w:p>
          <w:p>
            <w:pPr>
              <w:pStyle w:val="Body"/>
              <w:numPr>
                <w:ilvl w:val="0"/>
                <w:numId w:val="20"/>
              </w:numPr>
            </w:pPr>
            <w:r>
              <w:rPr>
                <w:shd w:val="nil" w:color="auto" w:fill="auto"/>
                <w:rtl w:val="0"/>
              </w:rPr>
              <w:t>Kirjeldage projekti juhtimise korraldust.</w:t>
            </w:r>
          </w:p>
          <w:p>
            <w:pPr>
              <w:pStyle w:val="Body"/>
              <w:numPr>
                <w:ilvl w:val="0"/>
                <w:numId w:val="20"/>
              </w:numPr>
            </w:pP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da-DK"/>
              </w:rPr>
              <w:t xml:space="preserve">rkige 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ra, kui suure koormusega projektijuht (v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de-DE"/>
              </w:rPr>
              <w:t>imalusel ka teised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 xml:space="preserve">tmeisikud) projekti panustavad.  </w:t>
            </w:r>
          </w:p>
          <w:p>
            <w:pPr>
              <w:pStyle w:val="Body"/>
              <w:numPr>
                <w:ilvl w:val="0"/>
                <w:numId w:val="20"/>
              </w:numPr>
            </w:pPr>
            <w:r>
              <w:rPr>
                <w:shd w:val="nil" w:color="auto" w:fill="auto"/>
                <w:rtl w:val="0"/>
              </w:rPr>
              <w:t>Kirjeldage, missugust 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iendavat ekspertiisi tuleb juurde kaasata (nt tehniline ekspertiis, andmekaitse), mis on meeskonnaliikmete poolt katmata.</w:t>
            </w:r>
          </w:p>
          <w:p>
            <w:pPr>
              <w:pStyle w:val="Body"/>
            </w:pPr>
            <w:r>
              <w:rPr>
                <w:shd w:val="nil" w:color="auto" w:fill="auto"/>
                <w:rtl w:val="0"/>
              </w:rPr>
              <w:t>NB! Kui nimetate konkreetseid meeskonnaliikmeid, siis nendega (v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 nende juhtidega) peab olema projektis osalemine l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bi r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  <w:lang w:val="en-US"/>
              </w:rPr>
              <w:t>gitud!</w:t>
            </w:r>
          </w:p>
        </w:tc>
      </w:tr>
      <w:tr>
        <w:tblPrEx>
          <w:shd w:val="clear" w:color="auto" w:fill="cdd4e9"/>
        </w:tblPrEx>
        <w:trPr>
          <w:trHeight w:val="661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>Projekti edu tagab RIA tugev sisemine tuumikmeeskond, mis toimib "targa tellijana", ja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liste tippekspertide kaasamine. Meeskond on komplekteeritud nii, et katta 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ra k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ik "</w:t>
            </w:r>
            <w:r>
              <w:rPr>
                <w:i w:val="1"/>
                <w:iCs w:val="1"/>
                <w:rtl w:val="0"/>
                <w:lang w:val="en-US"/>
              </w:rPr>
              <w:t>Agentic State</w:t>
            </w:r>
            <w:r>
              <w:rPr>
                <w:rtl w:val="0"/>
              </w:rPr>
              <w:t>" visioonis n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utud kompetentsid: strateegiline juhtimine, tehniline arhitektuur ja koodikvaliteedi tagamine [</w:t>
            </w:r>
            <w:r>
              <w:rPr>
                <w:rtl w:val="0"/>
              </w:rPr>
              <w:t>7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</w:pPr>
            <w:r>
              <w:rPr>
                <w:rtl w:val="0"/>
              </w:rPr>
              <w:t>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himeeskond (RIA):</w:t>
            </w:r>
          </w:p>
          <w:p>
            <w:pPr>
              <w:pStyle w:val="Body"/>
              <w:numPr>
                <w:ilvl w:val="0"/>
                <w:numId w:val="21"/>
              </w:numPr>
            </w:pPr>
            <w:r>
              <w:rPr>
                <w:rtl w:val="0"/>
              </w:rPr>
              <w:t>Projektijuht: Otto 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ttas (RIA). Tema vastutab, et lahendus oleks teadusp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hine ja vastaks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V</w:t>
            </w:r>
            <w:r>
              <w:rPr>
                <w:rtl w:val="0"/>
                <w:lang w:val="nl-NL"/>
              </w:rPr>
              <w:t>alge raamatu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usaldusv</w:t>
            </w:r>
            <w:r>
              <w:rPr>
                <w:rtl w:val="0"/>
              </w:rPr>
              <w:t>ää</w:t>
            </w:r>
            <w:r>
              <w:rPr>
                <w:rtl w:val="0"/>
                <w:lang w:val="en-US"/>
              </w:rPr>
              <w:t>rse AI n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pt-PT"/>
              </w:rPr>
              <w:t>uetele [3]</w:t>
            </w:r>
            <w:r>
              <w:rPr>
                <w:rtl w:val="0"/>
              </w:rPr>
              <w:t xml:space="preserve"> ja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Agentic State</w:t>
            </w:r>
            <w:r>
              <w:rPr>
                <w:rtl w:val="0"/>
              </w:rPr>
              <w:t xml:space="preserve">” </w:t>
            </w:r>
            <w:r>
              <w:rPr>
                <w:rtl w:val="0"/>
              </w:rPr>
              <w:t>visioonile [7]</w:t>
            </w:r>
            <w:r>
              <w:rPr>
                <w:rtl w:val="0"/>
              </w:rPr>
              <w:t>.</w:t>
            </w:r>
          </w:p>
          <w:p>
            <w:pPr>
              <w:pStyle w:val="Body"/>
              <w:numPr>
                <w:ilvl w:val="0"/>
                <w:numId w:val="21"/>
              </w:numPr>
            </w:pPr>
            <w:r>
              <w:rPr>
                <w:rtl w:val="0"/>
              </w:rPr>
              <w:t xml:space="preserve">Tehniline arhitekt: Mati Kljukin (RIA). Vastutab lahenduse sobivuse eest riigi olemasolevasse taristusse (X-tee) ja </w:t>
            </w:r>
            <w:r>
              <w:rPr>
                <w:i w:val="1"/>
                <w:iCs w:val="1"/>
                <w:rtl w:val="0"/>
                <w:lang w:val="en-US"/>
              </w:rPr>
              <w:t>GovStack</w:t>
            </w:r>
            <w:r>
              <w:rPr>
                <w:rtl w:val="0"/>
              </w:rPr>
              <w:t>i standardite juurutamise eest [</w:t>
            </w:r>
            <w:r>
              <w:rPr>
                <w:rtl w:val="0"/>
              </w:rPr>
              <w:t>8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  <w:numPr>
                <w:ilvl w:val="0"/>
                <w:numId w:val="21"/>
              </w:numPr>
            </w:pPr>
            <w:r>
              <w:rPr>
                <w:rtl w:val="0"/>
              </w:rPr>
              <w:t>Arendusjuht (</w:t>
            </w:r>
            <w:r>
              <w:rPr>
                <w:rtl w:val="0"/>
              </w:rPr>
              <w:t xml:space="preserve">ingl.k </w:t>
            </w:r>
            <w:r>
              <w:rPr>
                <w:i w:val="1"/>
                <w:iCs w:val="1"/>
                <w:rtl w:val="0"/>
                <w:lang w:val="en-US"/>
              </w:rPr>
              <w:t>Lead Engineer)</w:t>
            </w:r>
            <w:r>
              <w:rPr>
                <w:rtl w:val="0"/>
              </w:rPr>
              <w:t xml:space="preserve"> – 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rvatav tippekspert. Uus kriitiline roll, mille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rk on tagada riigi tehniline suver</w:t>
            </w:r>
            <w:r>
              <w:rPr>
                <w:rtl w:val="0"/>
              </w:rPr>
              <w:t>ää</w:t>
            </w:r>
            <w:r>
              <w:rPr>
                <w:rtl w:val="0"/>
                <w:lang w:val="pt-PT"/>
              </w:rPr>
              <w:t xml:space="preserve">nsus. Tema 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lesanne on partnerite loodud koodi valideerimine (code review), repositooriumite haldus ja arhitektuurne j</w:t>
            </w:r>
            <w:r>
              <w:rPr>
                <w:rtl w:val="0"/>
              </w:rPr>
              <w:t>ä</w:t>
            </w:r>
            <w:r>
              <w:rPr>
                <w:rtl w:val="0"/>
                <w:lang w:val="fr-FR"/>
              </w:rPr>
              <w:t>relevalve, et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ltida tarnija lukku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vendor lock-in</w:t>
            </w:r>
            <w:r>
              <w:rPr>
                <w:rtl w:val="0"/>
              </w:rPr>
              <w:t>) ja tagada 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steemi turvalisus (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Null-usalduse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printsiip) [3, </w:t>
            </w:r>
            <w:r>
              <w:rPr>
                <w:rtl w:val="0"/>
              </w:rPr>
              <w:t>9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</w:pPr>
            <w:r>
              <w:rPr>
                <w:rtl w:val="0"/>
              </w:rPr>
              <w:t>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iendav ekspertiis (</w:t>
            </w:r>
            <w:r>
              <w:rPr>
                <w:rtl w:val="0"/>
              </w:rPr>
              <w:t>p</w:t>
            </w:r>
            <w:r>
              <w:rPr>
                <w:rtl w:val="0"/>
              </w:rPr>
              <w:t>artnerid ja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hmad):</w:t>
            </w:r>
          </w:p>
          <w:p>
            <w:pPr>
              <w:pStyle w:val="Body"/>
              <w:numPr>
                <w:ilvl w:val="0"/>
                <w:numId w:val="21"/>
              </w:numPr>
            </w:pPr>
            <w:r>
              <w:rPr>
                <w:rtl w:val="0"/>
              </w:rPr>
              <w:t>Õ</w:t>
            </w:r>
            <w:r>
              <w:rPr>
                <w:rtl w:val="0"/>
              </w:rPr>
              <w:t>iguseksperdid: Kaasatakse hanke korras (koost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s Justiitsministeeriumiga), et lahendada masin-volituse ja HMS-i vastavuse k</w:t>
            </w:r>
            <w:r>
              <w:rPr>
                <w:rtl w:val="0"/>
              </w:rPr>
              <w:t>ü</w:t>
            </w:r>
            <w:r>
              <w:rPr>
                <w:rtl w:val="0"/>
                <w:lang w:val="en-US"/>
              </w:rPr>
              <w:t>simused [4].</w:t>
            </w:r>
          </w:p>
          <w:p>
            <w:pPr>
              <w:pStyle w:val="Body"/>
              <w:numPr>
                <w:ilvl w:val="0"/>
                <w:numId w:val="21"/>
              </w:numPr>
            </w:pPr>
            <w:r>
              <w:rPr>
                <w:rtl w:val="0"/>
              </w:rPr>
              <w:t xml:space="preserve">Teaduspartnerid (EXAI,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likoolid): Pakuvad tuge kr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ptograafia ja usaldusmudelite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ljat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tamisel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igusanal</w:t>
            </w:r>
            <w:r>
              <w:rPr>
                <w:rtl w:val="0"/>
              </w:rPr>
              <w:t>üü</w:t>
            </w:r>
            <w:r>
              <w:rPr>
                <w:rtl w:val="0"/>
              </w:rPr>
              <w:t>si teostamisel.</w:t>
            </w:r>
          </w:p>
          <w:p>
            <w:pPr>
              <w:pStyle w:val="Body"/>
            </w:pPr>
            <w:r>
              <w:rPr>
                <w:rtl w:val="0"/>
              </w:rPr>
              <w:t>Projektile moodustatakse juhtr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hm, mis tagab lahenduse skaleeritavuse riiklikuks baastaristuks ja vastavuse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Eesti 2035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rkidele [1].</w:t>
            </w:r>
          </w:p>
          <w:p>
            <w:pPr>
              <w:pStyle w:val="Body"/>
              <w:numPr>
                <w:ilvl w:val="0"/>
                <w:numId w:val="21"/>
              </w:numPr>
            </w:pPr>
            <w:r>
              <w:rPr>
                <w:rtl w:val="0"/>
              </w:rPr>
              <w:t>Juhtr</w:t>
            </w:r>
            <w:r>
              <w:rPr>
                <w:rtl w:val="0"/>
              </w:rPr>
              <w:t>ü</w:t>
            </w:r>
            <w:r>
              <w:rPr>
                <w:rtl w:val="0"/>
                <w:lang w:val="de-DE"/>
              </w:rPr>
              <w:t>hm: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tmeisikud on seotud otseselt nii Aruaida kui ka B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rokrati arendusega: RIA Tehisintellekti ja innovatsiooni talitus - Markko Liutkevi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ius, Merle Paula Videvik; JustDigi AI ja andmete talitus - Ott Velsberg, Allar Laaneleht. Pilootprojektiga on kaasatud MKM Maa- ja ruumipoliitika osakond - Moonika Schmidt; MaRu innovatsioonijuht - Henri Pook.</w:t>
            </w:r>
          </w:p>
          <w:p>
            <w:pPr>
              <w:pStyle w:val="Body"/>
              <w:numPr>
                <w:ilvl w:val="0"/>
                <w:numId w:val="21"/>
              </w:numPr>
            </w:pPr>
            <w:r>
              <w:rPr>
                <w:rtl w:val="0"/>
              </w:rPr>
              <w:t>T</w:t>
            </w:r>
            <w:r>
              <w:rPr>
                <w:rtl w:val="0"/>
              </w:rPr>
              <w:t>öö</w:t>
            </w:r>
            <w:r>
              <w:rPr>
                <w:rtl w:val="0"/>
                <w:lang w:val="nl-NL"/>
              </w:rPr>
              <w:t>korraldus: Kasutatakse agiilset arendusmetoodikat. Igan</w:t>
            </w:r>
            <w:r>
              <w:rPr>
                <w:rtl w:val="0"/>
              </w:rPr>
              <w:t>ä</w:t>
            </w:r>
            <w:r>
              <w:rPr>
                <w:rtl w:val="0"/>
                <w:lang w:val="en-US"/>
              </w:rPr>
              <w:t>dalased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</w:rPr>
              <w:t>arendussprind</w:t>
            </w:r>
            <w:r>
              <w:rPr>
                <w:rtl w:val="0"/>
              </w:rPr>
              <w:t xml:space="preserve">id arenduspartneritega (kontrollib arendusjuht) ja igakuised strateegilised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levaatused juhtr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hmaga.</w:t>
            </w:r>
          </w:p>
        </w:tc>
      </w:tr>
    </w:tbl>
    <w:p>
      <w:pPr>
        <w:pStyle w:val="Body"/>
        <w:spacing w:after="0"/>
      </w:pPr>
    </w:p>
    <w:p>
      <w:pPr>
        <w:pStyle w:val="Body"/>
        <w:spacing w:after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46"/>
      </w:tblGrid>
      <w:tr>
        <w:tblPrEx>
          <w:shd w:val="clear" w:color="auto" w:fill="cdd4e9"/>
        </w:tblPrEx>
        <w:trPr>
          <w:trHeight w:val="261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10. Projekti tulemuste elluviimine</w:t>
            </w:r>
          </w:p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Kirjeldage oma valmisolekut ja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imekust 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rast katseprojekti edukat l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ppu projekti tulemusi kestlikult ellu viia.</w:t>
            </w:r>
          </w:p>
          <w:p>
            <w:pPr>
              <w:pStyle w:val="Body"/>
              <w:numPr>
                <w:ilvl w:val="0"/>
                <w:numId w:val="22"/>
              </w:numPr>
            </w:pPr>
            <w:r>
              <w:rPr>
                <w:shd w:val="nil" w:color="auto" w:fill="auto"/>
                <w:rtl w:val="0"/>
              </w:rPr>
              <w:t>Kas projekti tulemuste edasine arendus ja kasutuselev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nl-NL"/>
              </w:rPr>
              <w:t>tt seostub asutuse prioriteetsete tegevustega, on t</w:t>
            </w:r>
            <w:r>
              <w:rPr>
                <w:shd w:val="nil" w:color="auto" w:fill="auto"/>
                <w:rtl w:val="0"/>
              </w:rPr>
              <w:t>öö</w:t>
            </w:r>
            <w:r>
              <w:rPr>
                <w:shd w:val="nil" w:color="auto" w:fill="auto"/>
                <w:rtl w:val="0"/>
              </w:rPr>
              <w:t>plaanis vms?</w:t>
            </w:r>
          </w:p>
          <w:p>
            <w:pPr>
              <w:pStyle w:val="Body"/>
              <w:numPr>
                <w:ilvl w:val="0"/>
                <w:numId w:val="22"/>
              </w:numPr>
            </w:pPr>
            <w:r>
              <w:rPr>
                <w:shd w:val="nil" w:color="auto" w:fill="auto"/>
                <w:rtl w:val="0"/>
              </w:rPr>
              <w:t>Kas tulemuste hilisemaks elluviimiseks vajalik rahastus ja muud ressursid on olemas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nl-NL"/>
              </w:rPr>
              <w:t>i tegeletakse selle leidmisega?</w:t>
            </w:r>
          </w:p>
          <w:p>
            <w:pPr>
              <w:pStyle w:val="Body"/>
              <w:numPr>
                <w:ilvl w:val="0"/>
                <w:numId w:val="22"/>
              </w:numPr>
            </w:pPr>
            <w:r>
              <w:rPr>
                <w:shd w:val="nil" w:color="auto" w:fill="auto"/>
                <w:rtl w:val="0"/>
                <w:lang w:val="nl-NL"/>
              </w:rPr>
              <w:t>Tooge v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lja olulisemad riskid projekti tulemuste hilisemal kasutuselev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nl-NL"/>
              </w:rPr>
              <w:t>tul. Kuidas plaanite neid riske maandada?</w:t>
            </w:r>
          </w:p>
          <w:p>
            <w:pPr>
              <w:pStyle w:val="Body"/>
              <w:numPr>
                <w:ilvl w:val="0"/>
                <w:numId w:val="22"/>
              </w:numPr>
            </w:pPr>
            <w:r>
              <w:rPr>
                <w:shd w:val="nil" w:color="auto" w:fill="auto"/>
                <w:rtl w:val="0"/>
              </w:rPr>
              <w:t>Kirjeldage, kas ja mil m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>ral on tulemused skaleeritavad ning kasutatavad avalikus sektoris laiemalt.</w:t>
            </w:r>
          </w:p>
        </w:tc>
      </w:tr>
      <w:tr>
        <w:tblPrEx>
          <w:shd w:val="clear" w:color="auto" w:fill="cdd4e9"/>
        </w:tblPrEx>
        <w:trPr>
          <w:trHeight w:val="689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>Aruait on kavandatud algusest peale p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siva digitaalse avaliku taristuna (ingl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 xml:space="preserve">k </w:t>
            </w:r>
            <w:r>
              <w:rPr>
                <w:i w:val="1"/>
                <w:iCs w:val="1"/>
                <w:rtl w:val="0"/>
                <w:lang w:val="en-US"/>
              </w:rPr>
              <w:t xml:space="preserve">Digital Public Infrastructure </w:t>
            </w:r>
            <w:r>
              <w:rPr>
                <w:i w:val="1"/>
                <w:iCs w:val="1"/>
                <w:rtl w:val="0"/>
              </w:rPr>
              <w:t>(</w:t>
            </w:r>
            <w:r>
              <w:rPr>
                <w:i w:val="1"/>
                <w:iCs w:val="1"/>
                <w:rtl w:val="0"/>
              </w:rPr>
              <w:t>DPI</w:t>
            </w:r>
            <w:r>
              <w:rPr>
                <w:i w:val="1"/>
                <w:iCs w:val="1"/>
                <w:rtl w:val="0"/>
              </w:rPr>
              <w:t>)</w:t>
            </w:r>
            <w:r>
              <w:rPr>
                <w:rtl w:val="0"/>
                <w:lang w:val="de-DE"/>
              </w:rPr>
              <w:t xml:space="preserve">), mitte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hekordse arendusprojektina. Meie strateegia on muuta Aruait RIA hallatavaks kriitiliseks baasteenuseks (analoogselt X-teele ja TARA-le), mis tagab teenuse toimepidevuse ja turvalisuse. See l</w:t>
            </w:r>
            <w:r>
              <w:rPr>
                <w:rtl w:val="0"/>
              </w:rPr>
              <w:t>ä</w:t>
            </w:r>
            <w:r>
              <w:rPr>
                <w:rtl w:val="0"/>
                <w:lang w:val="nl-NL"/>
              </w:rPr>
              <w:t xml:space="preserve">henemine maandab riski, mida BCG nimetab </w:t>
            </w:r>
            <w:r>
              <w:rPr>
                <w:rtl w:val="0"/>
              </w:rPr>
              <w:t>“</w:t>
            </w:r>
            <w:r>
              <w:rPr>
                <w:rtl w:val="0"/>
                <w:lang w:val="en-US"/>
              </w:rPr>
              <w:t>piloodil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ksuks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, tagades sujuva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lemineku eksperimendilt </w:t>
            </w:r>
            <w:r>
              <w:rPr>
                <w:rtl w:val="0"/>
              </w:rPr>
              <w:t xml:space="preserve">nn </w:t>
            </w:r>
            <w:r>
              <w:rPr>
                <w:rtl w:val="0"/>
              </w:rPr>
              <w:t>“</w:t>
            </w:r>
            <w:r>
              <w:rPr>
                <w:rtl w:val="0"/>
                <w:lang w:val="en-US"/>
              </w:rPr>
              <w:t>too</w:t>
            </w:r>
            <w:r>
              <w:rPr>
                <w:rtl w:val="0"/>
              </w:rPr>
              <w:t>dangu</w:t>
            </w:r>
            <w:r>
              <w:rPr>
                <w:rtl w:val="0"/>
              </w:rPr>
              <w:t>k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psele</w:t>
            </w:r>
            <w:r>
              <w:rPr>
                <w:rtl w:val="0"/>
              </w:rPr>
              <w:t>”</w:t>
            </w:r>
            <w:r>
              <w:rPr>
                <w:rtl w:val="0"/>
                <w:lang w:val="de-DE"/>
              </w:rPr>
              <w:t xml:space="preserve"> lahendusele [</w:t>
            </w:r>
            <w:r>
              <w:rPr>
                <w:rtl w:val="0"/>
              </w:rPr>
              <w:t>10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</w:pPr>
            <w:r>
              <w:rPr>
                <w:rtl w:val="0"/>
              </w:rPr>
              <w:t>Kas projekti tulemuste edasine arendus ja kasutuselev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tt seostub asutuse prioriteetsete tegevustega?</w:t>
            </w:r>
          </w:p>
          <w:p>
            <w:pPr>
              <w:pStyle w:val="Body"/>
            </w:pPr>
            <w:r>
              <w:rPr>
                <w:rtl w:val="0"/>
                <w:lang w:val="de-DE"/>
              </w:rPr>
              <w:t>Jah. RIA 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him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rusest tulenev kohustus on arendada ja hallata riigi infos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steemi kindlustavat taristut.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Tehisintellekti tegevuskava 2024-2026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seab prioriteediks kesksete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 xml:space="preserve">I-komponentide ja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suver</w:t>
            </w:r>
            <w:r>
              <w:rPr>
                <w:rtl w:val="0"/>
              </w:rPr>
              <w:t>ää</w:t>
            </w:r>
            <w:r>
              <w:rPr>
                <w:rtl w:val="0"/>
                <w:lang w:val="nl-NL"/>
              </w:rPr>
              <w:t>nse halduskihi</w:t>
            </w:r>
            <w:r>
              <w:rPr>
                <w:rtl w:val="0"/>
              </w:rPr>
              <w:t>”</w:t>
            </w:r>
            <w:r>
              <w:rPr>
                <w:rtl w:val="0"/>
                <w:lang w:val="fr-FR"/>
              </w:rPr>
              <w:t xml:space="preserve"> loomise, et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ltida asutuste dubleerivaid arendusi [4]. Aruait on tehniline vastus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Eesti 2035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rgile muuta riigivalitsemine 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husaks ja 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htamatuks [1].</w:t>
            </w:r>
          </w:p>
          <w:p>
            <w:pPr>
              <w:pStyle w:val="Body"/>
            </w:pPr>
            <w:r>
              <w:rPr>
                <w:rtl w:val="0"/>
              </w:rPr>
              <w:t>Kas tulemuste hilisemaks elluviimiseks vajalik rahastus ja muud ressursid on olemas?</w:t>
            </w:r>
          </w:p>
          <w:p>
            <w:pPr>
              <w:pStyle w:val="Body"/>
            </w:pPr>
            <w:r>
              <w:rPr>
                <w:rtl w:val="0"/>
              </w:rPr>
              <w:t>P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rast projekti l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ppu l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litatakse Aruaida halduskulud (hooldus, kasutajatugi) RIA p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sieelarvesse sarnaselt teiste riiklike komponentidega. Arenduskulude optimeerimiseks kasutame avatud l</w:t>
            </w:r>
            <w:r>
              <w:rPr>
                <w:rtl w:val="0"/>
              </w:rPr>
              <w:t>ä</w:t>
            </w:r>
            <w:r>
              <w:rPr>
                <w:rtl w:val="0"/>
                <w:lang w:val="es-ES_tradnl"/>
              </w:rPr>
              <w:t>htekoodiga mudelit,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imaldab erasektoril ja teistel riikidel (nt GovStack initsiatiivi raames) panustada koodibaasi arendamisse [</w:t>
            </w:r>
            <w:r>
              <w:rPr>
                <w:rtl w:val="0"/>
              </w:rPr>
              <w:t>8</w:t>
            </w:r>
            <w:r>
              <w:rPr>
                <w:rtl w:val="0"/>
                <w:lang w:val="pt-PT"/>
              </w:rPr>
              <w:t>].</w:t>
            </w:r>
            <w:r>
              <w:rPr>
                <w:rtl w:val="0"/>
              </w:rPr>
              <w:t xml:space="preserve"> Arendus toimub mikroteenusmeetodil, kus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vood k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ivitatakse vastusena konkreetsele p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ringule ehk arvutusj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udluse kulu tekib vaid reaalse p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ringu korral.</w:t>
            </w:r>
          </w:p>
          <w:p>
            <w:pPr>
              <w:pStyle w:val="Body"/>
            </w:pPr>
            <w:r>
              <w:rPr>
                <w:rtl w:val="0"/>
                <w:lang w:val="nl-NL"/>
              </w:rPr>
              <w:t>Tooge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lja olulisemad riskid projekti tulemuste hilisemal kasutuselev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tul. Kuidas plaanite neid riske maandada?</w:t>
            </w:r>
          </w:p>
          <w:p>
            <w:pPr>
              <w:pStyle w:val="Body"/>
            </w:pPr>
            <w:r>
              <w:rPr>
                <w:rtl w:val="0"/>
              </w:rPr>
              <w:t>Risk: Asutuste v</w:t>
            </w:r>
            <w:r>
              <w:rPr>
                <w:rtl w:val="0"/>
              </w:rPr>
              <w:t>ä</w:t>
            </w:r>
            <w:r>
              <w:rPr>
                <w:rtl w:val="0"/>
                <w:lang w:val="sv-SE"/>
              </w:rPr>
              <w:t>hene huvi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imekus liituda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Adoption Gap</w:t>
            </w:r>
            <w:r>
              <w:rPr>
                <w:rtl w:val="0"/>
                <w:lang w:val="nl-NL"/>
              </w:rPr>
              <w:t xml:space="preserve">). Maandamismeede: Me </w:t>
            </w:r>
            <w:r>
              <w:rPr>
                <w:rtl w:val="0"/>
              </w:rPr>
              <w:t>l</w:t>
            </w:r>
            <w:r>
              <w:rPr>
                <w:rtl w:val="0"/>
                <w:lang w:val="nl-NL"/>
              </w:rPr>
              <w:t>oo</w:t>
            </w:r>
            <w:r>
              <w:rPr>
                <w:rtl w:val="0"/>
              </w:rPr>
              <w:t>me t</w:t>
            </w:r>
            <w:r>
              <w:rPr>
                <w:rtl w:val="0"/>
              </w:rPr>
              <w:t>ehnilis</w:t>
            </w:r>
            <w:r>
              <w:rPr>
                <w:rtl w:val="0"/>
              </w:rPr>
              <w:t>e</w:t>
            </w:r>
            <w:r>
              <w:rPr>
                <w:rtl w:val="0"/>
              </w:rPr>
              <w:t xml:space="preserve"> protokolli</w:t>
            </w:r>
            <w:r>
              <w:rPr>
                <w:rtl w:val="0"/>
              </w:rPr>
              <w:t xml:space="preserve"> ning samuti</w:t>
            </w:r>
            <w:r>
              <w:rPr>
                <w:rtl w:val="0"/>
              </w:rPr>
              <w:t xml:space="preserve"> ka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tarkvara arenduskomplekti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</w:rPr>
              <w:t>Software Development Kit (</w:t>
            </w:r>
            <w:r>
              <w:rPr>
                <w:i w:val="1"/>
                <w:iCs w:val="1"/>
                <w:rtl w:val="0"/>
              </w:rPr>
              <w:t>SDK</w:t>
            </w:r>
            <w:r>
              <w:rPr>
                <w:i w:val="1"/>
                <w:iCs w:val="1"/>
                <w:rtl w:val="0"/>
              </w:rPr>
              <w:t>)</w:t>
            </w:r>
            <w:r>
              <w:rPr>
                <w:rtl w:val="0"/>
              </w:rPr>
              <w:t>) ja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  <w:lang w:val="nl-NL"/>
              </w:rPr>
              <w:t>reeglimootori</w:t>
            </w:r>
            <w:r>
              <w:rPr>
                <w:rtl w:val="0"/>
              </w:rPr>
              <w:t xml:space="preserve"> (ing.k </w:t>
            </w:r>
            <w:r>
              <w:rPr>
                <w:i w:val="1"/>
                <w:iCs w:val="1"/>
                <w:rtl w:val="0"/>
              </w:rPr>
              <w:t>Rules-as-Code</w:t>
            </w:r>
            <w:r>
              <w:rPr>
                <w:rtl w:val="0"/>
              </w:rPr>
              <w:t>)</w:t>
            </w:r>
            <w:r>
              <w:rPr>
                <w:rtl w:val="0"/>
              </w:rPr>
              <w:t>, mis teeb liitumise lihtsaks ka madalama IT-v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imekusega asutustele. Tugineme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Valge raamatu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kompetentsikeskuse mudelile, pakkudes asutustele tsentraalset tuge ja n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s-ES_tradnl"/>
              </w:rPr>
              <w:t>ustamist [3].</w:t>
            </w:r>
          </w:p>
          <w:p>
            <w:pPr>
              <w:pStyle w:val="Body"/>
            </w:pPr>
            <w:r>
              <w:rPr>
                <w:rtl w:val="0"/>
              </w:rPr>
              <w:t>Kirjeldage, kas ja mil m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ral on tulemused skaleeritavad.</w:t>
            </w:r>
          </w:p>
          <w:p>
            <w:pPr>
              <w:pStyle w:val="Body"/>
            </w:pPr>
            <w:r>
              <w:rPr>
                <w:rtl w:val="0"/>
                <w:lang w:val="nl-NL"/>
              </w:rPr>
              <w:t>Tulemused on 100% skaleeritavad. Loodav arhitektuur (</w:t>
            </w:r>
            <w:r>
              <w:rPr>
                <w:rtl w:val="0"/>
              </w:rPr>
              <w:t xml:space="preserve">vt </w:t>
            </w:r>
            <w:r>
              <w:rPr>
                <w:i w:val="1"/>
                <w:iCs w:val="1"/>
                <w:rtl w:val="0"/>
                <w:lang w:val="en-US"/>
              </w:rPr>
              <w:t>GovStacki</w:t>
            </w:r>
            <w:r>
              <w:rPr>
                <w:rtl w:val="0"/>
                <w:lang w:val="fr-FR"/>
              </w:rPr>
              <w:t xml:space="preserve"> standardid) on disainitud hajutatuna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en-US"/>
              </w:rPr>
              <w:t>decentralized architecture</w:t>
            </w:r>
            <w:r>
              <w:rPr>
                <w:rtl w:val="0"/>
                <w:lang w:val="fr-FR"/>
              </w:rPr>
              <w:t>), mis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hendab, et agentide arvu kasvades ei teki 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steemis pudelikaela [ 8</w:t>
            </w:r>
            <w:r>
              <w:rPr>
                <w:rtl w:val="0"/>
              </w:rPr>
              <w:t>, 9</w:t>
            </w:r>
            <w:r>
              <w:rPr>
                <w:rtl w:val="0"/>
                <w:lang w:val="fr-FR"/>
              </w:rPr>
              <w:t>]. Lahendus on laiendatav igasse valdkonda</w:t>
            </w:r>
            <w:r>
              <w:rPr>
                <w:rtl w:val="0"/>
              </w:rPr>
              <w:t xml:space="preserve"> - </w:t>
            </w:r>
            <w:r>
              <w:rPr>
                <w:rtl w:val="0"/>
              </w:rPr>
              <w:t>alates sotsiaalteenustest kuni keskkonnalubadeni</w:t>
            </w:r>
            <w:r>
              <w:rPr>
                <w:rtl w:val="0"/>
              </w:rPr>
              <w:t xml:space="preserve"> -</w:t>
            </w:r>
            <w:r>
              <w:rPr>
                <w:rtl w:val="0"/>
              </w:rPr>
              <w:t xml:space="preserve">, kus on vajalik masinatevaheline </w:t>
            </w:r>
            <w:r>
              <w:rPr>
                <w:rtl w:val="0"/>
              </w:rPr>
              <w:t>tehingute s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lmimine ja tegevused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Andmed on segmenteeritud ning privaatsete riigiprotsesside kirjeldamine on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imalik </w:t>
            </w:r>
            <w:r>
              <w:rPr>
                <w:rtl w:val="0"/>
              </w:rPr>
              <w:t xml:space="preserve">isiku-, </w:t>
            </w:r>
            <w:r>
              <w:rPr>
                <w:rtl w:val="0"/>
              </w:rPr>
              <w:t>asutuse</w:t>
            </w:r>
            <w:r>
              <w:rPr>
                <w:rtl w:val="0"/>
              </w:rPr>
              <w:t>- 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i ettev</w:t>
            </w:r>
            <w:r>
              <w:rPr>
                <w:rtl w:val="0"/>
              </w:rPr>
              <w:t>õ</w:t>
            </w:r>
            <w:r>
              <w:rPr>
                <w:rtl w:val="0"/>
              </w:rPr>
              <w:t>tte</w:t>
            </w:r>
            <w:r>
              <w:rPr>
                <w:rtl w:val="0"/>
              </w:rPr>
              <w:t>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hiselt.</w:t>
            </w:r>
          </w:p>
        </w:tc>
      </w:tr>
    </w:tbl>
    <w:p>
      <w:pPr>
        <w:pStyle w:val="Body"/>
        <w:spacing w:after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46"/>
      </w:tblGrid>
      <w:tr>
        <w:tblPrEx>
          <w:shd w:val="clear" w:color="auto" w:fill="cdd4e9"/>
        </w:tblPrEx>
        <w:trPr>
          <w:trHeight w:val="21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11. M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ju ettev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tlusele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 w:hint="default"/>
                <w:rtl w:val="0"/>
              </w:rPr>
              <w:t xml:space="preserve">☑ </w:t>
            </w:r>
            <w:r>
              <w:rPr>
                <w:rFonts w:ascii="Arial" w:cs="Arial Unicode MS" w:hAnsi="Arial" w:eastAsia="Arial Unicode MS"/>
                <w:rtl w:val="0"/>
              </w:rPr>
              <w:t>Projekt omab positiivset m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ju innovatsioonile ettev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tlussektoris. K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ige otsesemalt v</w:t>
            </w:r>
            <w:r>
              <w:rPr>
                <w:rFonts w:ascii="Arial" w:cs="Arial Unicode MS" w:hAnsi="Arial" w:eastAsia="Arial Unicode MS" w:hint="default"/>
                <w:rtl w:val="0"/>
              </w:rPr>
              <w:t>ä</w:t>
            </w:r>
            <w:r>
              <w:rPr>
                <w:rFonts w:ascii="Arial" w:cs="Arial Unicode MS" w:hAnsi="Arial" w:eastAsia="Arial Unicode MS"/>
                <w:rtl w:val="0"/>
              </w:rPr>
              <w:t>ljendub m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ju l</w:t>
            </w:r>
            <w:r>
              <w:rPr>
                <w:rFonts w:ascii="Arial" w:cs="Arial Unicode MS" w:hAnsi="Arial" w:eastAsia="Arial Unicode MS" w:hint="default"/>
                <w:rtl w:val="0"/>
              </w:rPr>
              <w:t>ä</w:t>
            </w:r>
            <w:r>
              <w:rPr>
                <w:rFonts w:ascii="Arial" w:cs="Arial Unicode MS" w:hAnsi="Arial" w:eastAsia="Arial Unicode MS"/>
                <w:rtl w:val="0"/>
              </w:rPr>
              <w:t>bi ettev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tete, kes osalevad tegevuste elluviimiseks korraldatavatel hangetel ja/v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i konkurssidel. Innovatsiooni hankimine avaliku sektori poolt aitab kaasa innovatsioonitegevuste kasvule erasektoris.</w:t>
            </w:r>
          </w:p>
        </w:tc>
      </w:tr>
    </w:tbl>
    <w:p>
      <w:pPr>
        <w:pStyle w:val="Body"/>
        <w:spacing w:after="0"/>
        <w:rPr>
          <w:sz w:val="20"/>
          <w:szCs w:val="20"/>
        </w:rPr>
      </w:pPr>
    </w:p>
    <w:p>
      <w:pPr>
        <w:pStyle w:val="Body"/>
        <w:spacing w:after="0"/>
      </w:pP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869"/>
        <w:gridCol w:w="6177"/>
      </w:tblGrid>
      <w:tr>
        <w:tblPrEx>
          <w:shd w:val="clear" w:color="auto" w:fill="cdd4e9"/>
        </w:tblPrEx>
        <w:trPr>
          <w:trHeight w:val="2134" w:hRule="atLeast"/>
        </w:trPr>
        <w:tc>
          <w:tcPr>
            <w:tcW w:type="dxa" w:w="904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251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sv-SE"/>
              </w:rPr>
              <w:t>12. Seos nutika spetsialiseerumise valdkondadega</w:t>
            </w:r>
          </w:p>
          <w:p>
            <w:pPr>
              <w:pStyle w:val="Body"/>
              <w:numPr>
                <w:ilvl w:val="0"/>
                <w:numId w:val="23"/>
              </w:numPr>
            </w:pPr>
            <w:r>
              <w:rPr>
                <w:shd w:val="nil" w:color="auto" w:fill="auto"/>
                <w:rtl w:val="0"/>
              </w:rPr>
              <w:t>Eesti teadus- ja arendustegevuse, innovatsiooni ning ettev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tluse (TAIE) arengukaval 2021-2035 on fookusvaldkonnad, s.o Eesti arenguvajadustele ja -v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imalustele vastavad riigi, ettev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tete ja teadusasutuste koost</w:t>
            </w:r>
            <w:r>
              <w:rPr>
                <w:shd w:val="nil" w:color="auto" w:fill="auto"/>
                <w:rtl w:val="0"/>
              </w:rPr>
              <w:t>öö</w:t>
            </w:r>
            <w:r>
              <w:rPr>
                <w:shd w:val="nil" w:color="auto" w:fill="auto"/>
                <w:rtl w:val="0"/>
              </w:rPr>
              <w:t>s eelisarendatavad teadus- ja arendustegevuse, innovatsiooni ja ettev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tluse valdkonnad. Ettev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 xml:space="preserve">tluse ja majandusliku arengupotentsiaaliga TAIE fookusvaldkonnad on 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htlasi Eesti nutika spetsialiseerumise valdkonnad (t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pt-PT"/>
              </w:rPr>
              <w:t xml:space="preserve">psem info: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"https://www.hm.ee/korgharidus-ja-teadus/teadus-ja-arendustegevus/taie-fookusvaldkonnad"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https://www.hm.ee/korgharidus-ja-teadus/teadus-ja-arendustegevus/taie-fookusvaldkonnad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). </w:t>
            </w:r>
          </w:p>
          <w:p>
            <w:pPr>
              <w:pStyle w:val="Body"/>
              <w:numPr>
                <w:ilvl w:val="0"/>
                <w:numId w:val="23"/>
              </w:numPr>
            </w:pPr>
            <w:r>
              <w:rPr>
                <w:shd w:val="nil" w:color="auto" w:fill="auto"/>
                <w:rtl w:val="0"/>
              </w:rPr>
              <w:t>Kirjeldage teie projekti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imaliku lahenduse seost v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de-DE"/>
              </w:rPr>
              <w:t xml:space="preserve">hemalt 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  <w:lang w:val="fr-FR"/>
              </w:rPr>
              <w:t>he valdkonnaga (r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 xml:space="preserve">huasetusega teadmus- ja tehnoloogiasiirdel). </w:t>
            </w:r>
          </w:p>
        </w:tc>
      </w:tr>
      <w:tr>
        <w:tblPrEx>
          <w:shd w:val="clear" w:color="auto" w:fill="cdd4e9"/>
        </w:tblPrEx>
        <w:trPr>
          <w:trHeight w:val="5094" w:hRule="atLeast"/>
        </w:trPr>
        <w:tc>
          <w:tcPr>
            <w:tcW w:type="dxa" w:w="286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Digilahendused igas eluvaldkonnas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(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"https://www.hm.ee/sites/default/files/documents/2023-02/Lisa%25202.%2520Digilahendused%2520igas%2520eluvaldkonnas_0.pdf"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nl-NL"/>
              </w:rPr>
              <w:t>vt teekaarti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>)</w:t>
            </w:r>
          </w:p>
        </w:tc>
        <w:tc>
          <w:tcPr>
            <w:tcW w:type="dxa" w:w="6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>Andmevaldkonna arendamine ja v</w:t>
            </w:r>
            <w:r>
              <w:rPr>
                <w:rtl w:val="0"/>
              </w:rPr>
              <w:t>ää</w:t>
            </w:r>
            <w:r>
              <w:rPr>
                <w:rtl w:val="0"/>
                <w:lang w:val="nl-NL"/>
              </w:rPr>
              <w:t>rindamine: Teekaart r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hutab vajadust lahenduste j</w:t>
            </w:r>
            <w:r>
              <w:rPr>
                <w:rtl w:val="0"/>
              </w:rPr>
              <w:t>ä</w:t>
            </w:r>
            <w:r>
              <w:rPr>
                <w:rtl w:val="0"/>
                <w:lang w:val="fr-FR"/>
              </w:rPr>
              <w:t>rele, mis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imaldavad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lihtsalt ja arukalt kasutada erinevaid andmeid</w:t>
            </w:r>
            <w:r>
              <w:rPr>
                <w:rtl w:val="0"/>
              </w:rPr>
              <w:t>”</w:t>
            </w:r>
            <w:r>
              <w:rPr>
                <w:rtl w:val="0"/>
                <w:lang w:val="pt-PT"/>
              </w:rPr>
              <w:t xml:space="preserve"> ning edendada andmete ristkasutust [5]. Aruait </w:t>
            </w:r>
            <w:r>
              <w:rPr>
                <w:rtl w:val="0"/>
              </w:rPr>
              <w:t>loob</w:t>
            </w:r>
            <w:r>
              <w:rPr>
                <w:rtl w:val="0"/>
              </w:rPr>
              <w:t xml:space="preserve"> tegumip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n-US"/>
              </w:rPr>
              <w:t>hise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it-IT"/>
              </w:rPr>
              <w:t>Agentic</w:t>
            </w:r>
            <w:r>
              <w:rPr>
                <w:rtl w:val="0"/>
                <w:lang w:val="en-US"/>
              </w:rPr>
              <w:t>) andmevahetuse. See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hendab, et andmeid ei liigutata lihtsalt </w:t>
            </w:r>
            <w:r>
              <w:rPr>
                <w:rtl w:val="0"/>
              </w:rPr>
              <w:t>ü</w:t>
            </w:r>
            <w:r>
              <w:rPr>
                <w:rtl w:val="0"/>
                <w:lang w:val="en-US"/>
              </w:rPr>
              <w:t>hest kohast teise, vaid agendid kasutavad neid autonoomselt v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 xml:space="preserve">rtuse loomiseks (nt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Kontrolli andmeid ja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ljasta luba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>), mis on eelduseks reaalajamajanduse ja masinatevahelise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</w:rPr>
              <w:t>Machine-to-machine (</w:t>
            </w:r>
            <w:r>
              <w:rPr>
                <w:i w:val="1"/>
                <w:iCs w:val="1"/>
                <w:rtl w:val="0"/>
              </w:rPr>
              <w:t>M2M</w:t>
            </w:r>
            <w:r>
              <w:rPr>
                <w:i w:val="1"/>
                <w:iCs w:val="1"/>
                <w:rtl w:val="0"/>
              </w:rPr>
              <w:t>)</w:t>
            </w:r>
            <w:r>
              <w:rPr>
                <w:rtl w:val="0"/>
              </w:rPr>
              <w:t xml:space="preserve">) 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rimudelite tekkeks [</w:t>
            </w:r>
            <w:r>
              <w:rPr>
                <w:rtl w:val="0"/>
              </w:rPr>
              <w:t>7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</w:pPr>
            <w:r>
              <w:rPr>
                <w:rtl w:val="0"/>
              </w:rPr>
              <w:t>K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berturvalisus ja digitaalne usaldus: Teekaart toob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lja vajaduse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 xml:space="preserve">turvalise digitaalse identiteedi 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</w:rPr>
              <w:t>kos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steemi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j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rele [5]. Aruait lahendab siin kriitilise l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nga</w:t>
            </w:r>
            <w:r>
              <w:rPr>
                <w:rtl w:val="0"/>
              </w:rPr>
              <w:t xml:space="preserve"> - </w:t>
            </w:r>
            <w:r>
              <w:rPr>
                <w:rtl w:val="0"/>
                <w:lang w:val="nl-NL"/>
              </w:rPr>
              <w:t>masin-identiteedi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de-DE"/>
              </w:rPr>
              <w:t>Machine Identity</w:t>
            </w:r>
            <w:r>
              <w:rPr>
                <w:rtl w:val="0"/>
              </w:rPr>
              <w:t xml:space="preserve">) ja volituste halduse.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urvali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e ja riiklikult verifitseeritud </w:t>
            </w:r>
            <w:r>
              <w:rPr>
                <w:rtl w:val="0"/>
              </w:rPr>
              <w:t>“</w:t>
            </w:r>
            <w:r>
              <w:rPr>
                <w:rtl w:val="0"/>
                <w:lang w:val="pt-PT"/>
              </w:rPr>
              <w:t>agentide regist</w:t>
            </w:r>
            <w:r>
              <w:rPr>
                <w:rtl w:val="0"/>
              </w:rPr>
              <w:t>e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on vajalik, et</w:t>
            </w:r>
            <w:r>
              <w:rPr>
                <w:rtl w:val="0"/>
                <w:lang w:val="nl-NL"/>
              </w:rPr>
              <w:t xml:space="preserve"> usaldusv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rseid AI-teenuseid laialdaselt juurutada [3</w:t>
            </w:r>
            <w:r>
              <w:rPr>
                <w:rtl w:val="0"/>
              </w:rPr>
              <w:t>, 8</w:t>
            </w:r>
            <w:r>
              <w:rPr>
                <w:rtl w:val="0"/>
                <w:lang w:val="pt-PT"/>
              </w:rPr>
              <w:t>].</w:t>
            </w:r>
          </w:p>
          <w:p>
            <w:pPr>
              <w:pStyle w:val="Body"/>
            </w:pPr>
            <w:r>
              <w:rPr>
                <w:rtl w:val="0"/>
                <w:lang w:val="sv-SE"/>
              </w:rPr>
              <w:t>Ä</w:t>
            </w:r>
            <w:r>
              <w:rPr>
                <w:rtl w:val="0"/>
              </w:rPr>
              <w:t>riprotsesside innovatsioon: Teekaart seab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rgiks 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sta 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de-DE"/>
              </w:rPr>
              <w:t xml:space="preserve">tete 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riprotsesside 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husust digilahenduste abil [5]. Aruait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imaldab 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de-DE"/>
              </w:rPr>
              <w:t>tete infos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steemidel (nt ERP) suhelda riigiga otse ja autonoomselt,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hendades drastiliselt halduskoormust ja vabastades ressursse innovatsiooniks, mis on koosk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es-ES_tradnl"/>
              </w:rPr>
              <w:t xml:space="preserve">las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Eesti 2035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tootlikkuse kasvu eesm</w:t>
            </w:r>
            <w:r>
              <w:rPr>
                <w:rtl w:val="0"/>
              </w:rPr>
              <w:t>ä</w:t>
            </w:r>
            <w:r>
              <w:rPr>
                <w:rtl w:val="0"/>
                <w:lang w:val="pt-PT"/>
              </w:rPr>
              <w:t>rgiga [1].</w:t>
            </w:r>
          </w:p>
          <w:p>
            <w:pPr>
              <w:pStyle w:val="Body"/>
            </w:pPr>
            <w:r>
              <w:rPr>
                <w:rtl w:val="0"/>
              </w:rPr>
              <w:t xml:space="preserve">Teadmus- ja tehnoloogiasiire: Projekt kaasab Eesti </w:t>
            </w:r>
            <w:r>
              <w:rPr>
                <w:rtl w:val="0"/>
              </w:rPr>
              <w:t>teadusasutused</w:t>
            </w:r>
            <w:r>
              <w:rPr>
                <w:rtl w:val="0"/>
                <w:lang w:val="fr-FR"/>
              </w:rPr>
              <w:t>, et t</w:t>
            </w:r>
            <w:r>
              <w:rPr>
                <w:rtl w:val="0"/>
              </w:rPr>
              <w:t>öö</w:t>
            </w:r>
            <w:r>
              <w:rPr>
                <w:rtl w:val="0"/>
                <w:lang w:val="pt-PT"/>
              </w:rPr>
              <w:t>tada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lja uued kr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ptograafilised standardid ja usaldusmudelid (teadmusmahukas komponent), mis seej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rel antakse avatud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htekoodina erasektori kasutusse (tehnoloogiasiire),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pt-PT"/>
              </w:rPr>
              <w:t>imaldades Eesti 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>tetel ehitada sellele platvormile globaalselt skaleeritavaid tooteid [4].</w:t>
            </w:r>
          </w:p>
        </w:tc>
      </w:tr>
      <w:tr>
        <w:tblPrEx>
          <w:shd w:val="clear" w:color="auto" w:fill="cdd4e9"/>
        </w:tblPrEx>
        <w:trPr>
          <w:trHeight w:val="414" w:hRule="atLeast"/>
        </w:trPr>
        <w:tc>
          <w:tcPr>
            <w:tcW w:type="dxa" w:w="286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Tervisetehnoloogiad ja -teenused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"https://www.hm.ee/sites/default/files/documents/2023-02/Lisa%25203.%2520Tervisetehnoloogiad-%2520ja%2520teenused.pdf"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nl-NL"/>
              </w:rPr>
              <w:t>(vt teekaart)</w:t>
            </w:r>
            <w:r>
              <w:rPr/>
              <w:fldChar w:fldCharType="end" w:fldLock="0"/>
            </w:r>
          </w:p>
        </w:tc>
        <w:tc>
          <w:tcPr>
            <w:tcW w:type="dxa" w:w="6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14" w:hRule="atLeast"/>
        </w:trPr>
        <w:tc>
          <w:tcPr>
            <w:tcW w:type="dxa" w:w="286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Kohalike ressursside (</w:t>
            </w:r>
            <w:r>
              <w:rPr>
                <w:shd w:val="clear" w:color="auto" w:fill="ffffff"/>
                <w:rtl w:val="0"/>
              </w:rPr>
              <w:t>toit, puit, maap</w:t>
            </w:r>
            <w:r>
              <w:rPr>
                <w:shd w:val="clear" w:color="auto" w:fill="ffffff"/>
                <w:rtl w:val="0"/>
                <w:lang w:val="pt-PT"/>
              </w:rPr>
              <w:t>õ</w:t>
            </w:r>
            <w:r>
              <w:rPr>
                <w:shd w:val="clear" w:color="auto" w:fill="ffffff"/>
                <w:rtl w:val="0"/>
                <w:lang w:val="de-DE"/>
              </w:rPr>
              <w:t>ueressursid, teisene toorme ja j</w:t>
            </w:r>
            <w:r>
              <w:rPr>
                <w:shd w:val="clear" w:color="auto" w:fill="ffffff"/>
                <w:rtl w:val="0"/>
              </w:rPr>
              <w:t>ää</w:t>
            </w:r>
            <w:r>
              <w:rPr>
                <w:shd w:val="clear" w:color="auto" w:fill="ffffff"/>
                <w:rtl w:val="0"/>
              </w:rPr>
              <w:t xml:space="preserve">tmed) </w:t>
            </w:r>
            <w:r>
              <w:rPr>
                <w:shd w:val="nil" w:color="auto" w:fill="auto"/>
                <w:rtl w:val="0"/>
              </w:rPr>
              <w:t>v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  <w:lang w:val="es-ES_tradnl"/>
              </w:rPr>
              <w:t>rindamine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"https://www.hm.ee/sites/default/files/documents/2023-02/Lisa%25207.%2520Kohalike%2520ressursside%2520v%25C3%25A4%25C3%25A4rindamine%2520(teisene%2520toore%2520ja%2520j%25C3%25A4%25C3%25A4tmed).pdf"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nl-NL"/>
              </w:rPr>
              <w:t>(vt teekaart)</w:t>
            </w:r>
            <w:r>
              <w:rPr/>
              <w:fldChar w:fldCharType="end" w:fldLock="0"/>
            </w:r>
          </w:p>
        </w:tc>
        <w:tc>
          <w:tcPr>
            <w:tcW w:type="dxa" w:w="6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14" w:hRule="atLeast"/>
        </w:trPr>
        <w:tc>
          <w:tcPr>
            <w:tcW w:type="dxa" w:w="286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Nutikad ja kestlikud energialahendused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"https://hm.ee/sites/default/files/documents/2023-02/Lisa%25208.%2520Nutikad%2520ja%2520kestlikud%2520energialahendused.pdf"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nl-NL"/>
              </w:rPr>
              <w:t>(vt teekaart)</w:t>
            </w:r>
            <w:r>
              <w:rPr/>
              <w:fldChar w:fldCharType="end" w:fldLock="0"/>
            </w:r>
          </w:p>
        </w:tc>
        <w:tc>
          <w:tcPr>
            <w:tcW w:type="dxa" w:w="6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174" w:hRule="atLeast"/>
        </w:trPr>
        <w:tc>
          <w:tcPr>
            <w:tcW w:type="dxa" w:w="286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>Eluj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nl-NL"/>
              </w:rPr>
              <w:t xml:space="preserve">uline Eesti 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hiskond, keel ja kultuuriruum</w:t>
            </w:r>
            <w:r>
              <w:br w:type="textWrapping"/>
            </w:r>
            <w:r>
              <w:rPr>
                <w:rtl w:val="0"/>
              </w:rPr>
              <w:t>(</w:t>
            </w:r>
            <w:r>
              <w:rPr>
                <w:rStyle w:val="Link"/>
              </w:rPr>
              <w:fldChar w:fldCharType="begin" w:fldLock="0"/>
            </w:r>
            <w:r>
              <w:rPr>
                <w:rStyle w:val="Link"/>
              </w:rPr>
              <w:instrText xml:space="preserve"> HYPERLINK "https://taie.ee/sites/default/files/documents/2023-12/Eluj%C3%B5ulise%20Eesti%20teekaart_1.pdf"</w:instrText>
            </w:r>
            <w:r>
              <w:rPr>
                <w:rStyle w:val="Link"/>
              </w:rPr>
              <w:fldChar w:fldCharType="separate" w:fldLock="0"/>
            </w:r>
            <w:r>
              <w:rPr>
                <w:rStyle w:val="Link"/>
                <w:rtl w:val="0"/>
              </w:rPr>
              <w:t>vt teekaart</w:t>
            </w:r>
            <w:r>
              <w:rPr/>
              <w:fldChar w:fldCharType="end" w:fldLock="0"/>
            </w:r>
            <w:r>
              <w:rPr>
                <w:rtl w:val="0"/>
              </w:rPr>
              <w:t>)</w:t>
            </w:r>
          </w:p>
        </w:tc>
        <w:tc>
          <w:tcPr>
            <w:tcW w:type="dxa" w:w="6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Kuigi see on sekundaarne, on projektil oluline roll Eesti digitaalse suver</w:t>
            </w:r>
            <w:r>
              <w:rPr>
                <w:rFonts w:ascii="Arial" w:cs="Arial Unicode MS" w:hAnsi="Arial" w:eastAsia="Arial Unicode MS" w:hint="default"/>
                <w:rtl w:val="0"/>
              </w:rPr>
              <w:t>ää</w:t>
            </w:r>
            <w:r>
              <w:rPr>
                <w:rFonts w:ascii="Arial" w:cs="Arial Unicode MS" w:hAnsi="Arial" w:eastAsia="Arial Unicode MS"/>
                <w:rtl w:val="0"/>
              </w:rPr>
              <w:t>nsuse ja keeletehnoloogia toetamisel:</w:t>
            </w:r>
          </w:p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Digitaalne suver</w:t>
            </w:r>
            <w:r>
              <w:rPr>
                <w:rFonts w:ascii="Arial" w:cs="Arial Unicode MS" w:hAnsi="Arial" w:eastAsia="Arial Unicode MS" w:hint="default"/>
                <w:rtl w:val="0"/>
              </w:rPr>
              <w:t>ää</w:t>
            </w:r>
            <w:r>
              <w:rPr>
                <w:rFonts w:ascii="Arial" w:cs="Arial Unicode MS" w:hAnsi="Arial" w:eastAsia="Arial Unicode MS"/>
                <w:rtl w:val="0"/>
              </w:rPr>
              <w:t>nsus ja keeletehnoloogia: Teekaart r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hutab vajadust tagada eesti keele ja kultuuri s</w:t>
            </w:r>
            <w:r>
              <w:rPr>
                <w:rFonts w:ascii="Arial" w:cs="Arial Unicode MS" w:hAnsi="Arial" w:eastAsia="Arial Unicode MS" w:hint="default"/>
                <w:rtl w:val="0"/>
              </w:rPr>
              <w:t>ä</w:t>
            </w:r>
            <w:r>
              <w:rPr>
                <w:rFonts w:ascii="Arial" w:cs="Arial Unicode MS" w:hAnsi="Arial" w:eastAsia="Arial Unicode MS"/>
                <w:rtl w:val="0"/>
              </w:rPr>
              <w:t xml:space="preserve">ilimine digiajastul ning arendada keeletehnoloogiat [6]. Aruait loob </w:t>
            </w:r>
            <w:r>
              <w:rPr>
                <w:rFonts w:ascii="Arial" w:cs="Arial Unicode MS" w:hAnsi="Arial" w:eastAsia="Arial Unicode MS" w:hint="default"/>
                <w:rtl w:val="0"/>
              </w:rPr>
              <w:t>“</w:t>
            </w:r>
            <w:r>
              <w:rPr>
                <w:rFonts w:ascii="Arial" w:cs="Arial Unicode MS" w:hAnsi="Arial" w:eastAsia="Arial Unicode MS"/>
                <w:rtl w:val="0"/>
              </w:rPr>
              <w:t>suver</w:t>
            </w:r>
            <w:r>
              <w:rPr>
                <w:rFonts w:ascii="Arial" w:cs="Arial Unicode MS" w:hAnsi="Arial" w:eastAsia="Arial Unicode MS" w:hint="default"/>
                <w:rtl w:val="0"/>
              </w:rPr>
              <w:t>ää</w:t>
            </w:r>
            <w:r>
              <w:rPr>
                <w:rFonts w:ascii="Arial" w:cs="Arial Unicode MS" w:hAnsi="Arial" w:eastAsia="Arial Unicode MS"/>
                <w:rtl w:val="0"/>
              </w:rPr>
              <w:t>nse halduskihi</w:t>
            </w:r>
            <w:r>
              <w:rPr>
                <w:rFonts w:ascii="Arial" w:cs="Arial Unicode MS" w:hAnsi="Arial" w:eastAsia="Arial Unicode MS" w:hint="default"/>
                <w:rtl w:val="0"/>
              </w:rPr>
              <w:t>”</w:t>
            </w:r>
            <w:r>
              <w:rPr>
                <w:rFonts w:ascii="Arial" w:cs="Arial Unicode MS" w:hAnsi="Arial" w:eastAsia="Arial Unicode MS"/>
                <w:rtl w:val="0"/>
              </w:rPr>
              <w:t>, mis tagab, et tuleviku agendid (mis v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ivad toimida v</w:t>
            </w:r>
            <w:r>
              <w:rPr>
                <w:rFonts w:ascii="Arial" w:cs="Arial Unicode MS" w:hAnsi="Arial" w:eastAsia="Arial Unicode MS" w:hint="default"/>
                <w:rtl w:val="0"/>
              </w:rPr>
              <w:t>ä</w:t>
            </w:r>
            <w:r>
              <w:rPr>
                <w:rFonts w:ascii="Arial" w:cs="Arial Unicode MS" w:hAnsi="Arial" w:eastAsia="Arial Unicode MS"/>
                <w:rtl w:val="0"/>
              </w:rPr>
              <w:t>lismaistel mudelitel) peavad suhtlema ja tegutsema Eesti riigi poolt kehtestatud (protsessi)reeglite, v</w:t>
            </w:r>
            <w:r>
              <w:rPr>
                <w:rFonts w:ascii="Arial" w:cs="Arial Unicode MS" w:hAnsi="Arial" w:eastAsia="Arial Unicode MS" w:hint="default"/>
                <w:rtl w:val="0"/>
              </w:rPr>
              <w:t>ää</w:t>
            </w:r>
            <w:r>
              <w:rPr>
                <w:rFonts w:ascii="Arial" w:cs="Arial Unicode MS" w:hAnsi="Arial" w:eastAsia="Arial Unicode MS"/>
                <w:rtl w:val="0"/>
              </w:rPr>
              <w:t>rtuste ja keeleruumi raames. See v</w:t>
            </w:r>
            <w:r>
              <w:rPr>
                <w:rFonts w:ascii="Arial" w:cs="Arial Unicode MS" w:hAnsi="Arial" w:eastAsia="Arial Unicode MS" w:hint="default"/>
                <w:rtl w:val="0"/>
              </w:rPr>
              <w:t>ä</w:t>
            </w:r>
            <w:r>
              <w:rPr>
                <w:rFonts w:ascii="Arial" w:cs="Arial Unicode MS" w:hAnsi="Arial" w:eastAsia="Arial Unicode MS"/>
                <w:rtl w:val="0"/>
              </w:rPr>
              <w:t>hendab s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 xml:space="preserve">ltuvust globaalsetest </w:t>
            </w:r>
            <w:r>
              <w:rPr>
                <w:rFonts w:ascii="Arial" w:cs="Arial Unicode MS" w:hAnsi="Arial" w:eastAsia="Arial Unicode MS" w:hint="default"/>
                <w:rtl w:val="0"/>
              </w:rPr>
              <w:t>“</w:t>
            </w:r>
            <w:r>
              <w:rPr>
                <w:rFonts w:ascii="Arial" w:cs="Arial Unicode MS" w:hAnsi="Arial" w:eastAsia="Arial Unicode MS"/>
                <w:rtl w:val="0"/>
              </w:rPr>
              <w:t>musta kasti</w:t>
            </w:r>
            <w:r>
              <w:rPr>
                <w:rFonts w:ascii="Arial" w:cs="Arial Unicode MS" w:hAnsi="Arial" w:eastAsia="Arial Unicode MS" w:hint="default"/>
                <w:rtl w:val="0"/>
              </w:rPr>
              <w:t xml:space="preserve">” </w:t>
            </w:r>
            <w:r>
              <w:rPr>
                <w:rFonts w:ascii="Arial" w:cs="Arial Unicode MS" w:hAnsi="Arial" w:eastAsia="Arial Unicode MS"/>
                <w:rtl w:val="0"/>
              </w:rPr>
              <w:t>lahendustest ja toetab Eesti teadusmahukat innovatsiooni [6, 7].</w:t>
            </w:r>
          </w:p>
        </w:tc>
      </w:tr>
    </w:tbl>
    <w:p>
      <w:pPr>
        <w:pStyle w:val="Body"/>
        <w:spacing w:after="0"/>
      </w:pPr>
    </w:p>
    <w:p>
      <w:pPr>
        <w:pStyle w:val="Body"/>
        <w:rPr>
          <w:b w:val="1"/>
          <w:bCs w:val="1"/>
        </w:rPr>
      </w:pPr>
    </w:p>
    <w:tbl>
      <w:tblPr>
        <w:tblW w:w="90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46"/>
      </w:tblGrid>
      <w:tr>
        <w:tblPrEx>
          <w:shd w:val="clear" w:color="auto" w:fill="cdd4e9"/>
        </w:tblPrEx>
        <w:trPr>
          <w:trHeight w:val="133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13. Seos strateegias Eesti 2035 toodud arenguvajadustega</w:t>
            </w:r>
          </w:p>
          <w:p>
            <w:pPr>
              <w:pStyle w:val="Body"/>
              <w:numPr>
                <w:ilvl w:val="0"/>
                <w:numId w:val="24"/>
              </w:numPr>
            </w:pPr>
            <w:r>
              <w:rPr>
                <w:shd w:val="nil" w:color="auto" w:fill="auto"/>
                <w:rtl w:val="0"/>
              </w:rPr>
              <w:t xml:space="preserve">Selgitage, kuidas panustavad projekti tegevused ja valitud lahendussuund </w:t>
            </w:r>
            <w:r>
              <w:rPr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shd w:val="nil" w:color="auto" w:fill="auto"/>
                <w:rtl w:val="0"/>
              </w:rPr>
              <w:t>Eesti 2035</w:t>
            </w:r>
            <w:r>
              <w:rPr>
                <w:shd w:val="nil" w:color="auto" w:fill="auto"/>
                <w:rtl w:val="0"/>
              </w:rPr>
              <w:t xml:space="preserve">” </w:t>
            </w:r>
            <w:r>
              <w:rPr>
                <w:shd w:val="nil" w:color="auto" w:fill="auto"/>
                <w:rtl w:val="0"/>
              </w:rPr>
              <w:t>strateegias kirjeldatud arenguvajadustesse.</w:t>
            </w:r>
          </w:p>
          <w:p>
            <w:pPr>
              <w:pStyle w:val="Body"/>
              <w:numPr>
                <w:ilvl w:val="0"/>
                <w:numId w:val="24"/>
              </w:numPr>
            </w:pPr>
            <w:r>
              <w:rPr>
                <w:shd w:val="nil" w:color="auto" w:fill="auto"/>
                <w:rtl w:val="0"/>
                <w:lang w:val="nl-NL"/>
              </w:rPr>
              <w:t>Tooge v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lja, kui projekti tegevused panustavad muudesse olulistesse valdkondlikesse arengukavadesse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  <w:lang w:val="pt-PT"/>
              </w:rPr>
              <w:t xml:space="preserve">i -dokumentidesse. </w:t>
            </w:r>
          </w:p>
        </w:tc>
      </w:tr>
      <w:tr>
        <w:tblPrEx>
          <w:shd w:val="clear" w:color="auto" w:fill="cdd4e9"/>
        </w:tblPrEx>
        <w:trPr>
          <w:trHeight w:val="6494" w:hRule="atLeast"/>
        </w:trPr>
        <w:tc>
          <w:tcPr>
            <w:tcW w:type="dxa" w:w="90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 xml:space="preserve">Aruait on strateegiline sekkumine, mis toetab otseselt kahte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Eesti 2035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viiest kesksest sihist, pakkudes tehnoloogilist lahendust demograafilistele ja majanduslikele 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ljakutsetele.</w:t>
            </w:r>
          </w:p>
          <w:p>
            <w:pPr>
              <w:pStyle w:val="Body"/>
              <w:numPr>
                <w:ilvl w:val="0"/>
                <w:numId w:val="25"/>
              </w:numPr>
            </w:pPr>
            <w:r>
              <w:rPr>
                <w:rtl w:val="0"/>
                <w:lang w:val="de-DE"/>
              </w:rPr>
              <w:t xml:space="preserve">Siht: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Eesti majandus on tugev, uuendusmeelne ja vastutustundlik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 xml:space="preserve">” </w:t>
            </w:r>
            <w:r>
              <w:rPr>
                <w:rtl w:val="0"/>
                <w:lang w:val="nl-NL"/>
              </w:rPr>
              <w:t>Strateegia seab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rgiks kasvatada Eesti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j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u tootlikkust 110%-ni Euroopa Liidu keskmisest aastaks 2035. Aruait toetab seda sihti kahel viisil:</w:t>
            </w:r>
          </w:p>
          <w:p>
            <w:pPr>
              <w:pStyle w:val="Body"/>
              <w:numPr>
                <w:ilvl w:val="0"/>
                <w:numId w:val="26"/>
              </w:numPr>
            </w:pPr>
            <w:r>
              <w:rPr>
                <w:rtl w:val="0"/>
              </w:rPr>
              <w:t>Tootlikkuse kasv 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bi automaatika: BCG ja MIT raportid n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itavad, et AI integreerimine t</w:t>
            </w:r>
            <w:r>
              <w:rPr>
                <w:rtl w:val="0"/>
              </w:rPr>
              <w:t>öö</w:t>
            </w:r>
            <w:r>
              <w:rPr>
                <w:rtl w:val="0"/>
                <w:lang w:val="en-US"/>
              </w:rPr>
              <w:t>voogudesse on peamine hoob tootlikkuse 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  <w:lang w:val="fr-FR"/>
              </w:rPr>
              <w:t>stmiseks. Aruait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imaldab 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tetel asendada rutiinse aruandluse ja suhtluse riigiga autonoomsete agentide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ga, vabastades inimressurssi k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rgema lisandv</w:t>
            </w:r>
            <w:r>
              <w:rPr>
                <w:rtl w:val="0"/>
              </w:rPr>
              <w:t>ää</w:t>
            </w:r>
            <w:r>
              <w:rPr>
                <w:rtl w:val="0"/>
                <w:lang w:val="nl-NL"/>
              </w:rPr>
              <w:t xml:space="preserve">rtusega tegevusteks. See on otsene panus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realaajamajanduse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ja halduskoormuse v</w:t>
            </w:r>
            <w:r>
              <w:rPr>
                <w:rtl w:val="0"/>
              </w:rPr>
              <w:t>ä</w:t>
            </w:r>
            <w:r>
              <w:rPr>
                <w:rtl w:val="0"/>
                <w:lang w:val="nl-NL"/>
              </w:rPr>
              <w:t>hendamise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rkidesse.</w:t>
            </w:r>
          </w:p>
          <w:p>
            <w:pPr>
              <w:pStyle w:val="Body"/>
              <w:numPr>
                <w:ilvl w:val="0"/>
                <w:numId w:val="26"/>
              </w:numPr>
            </w:pPr>
            <w:r>
              <w:rPr>
                <w:rtl w:val="0"/>
              </w:rPr>
              <w:t>Ekspordipotentsiaal: Projektiga luuakse unikaalne teadmusmahukas tehnoloogia (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suver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nne halduskiht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>), mis tugevdab Eesti mainet digiriigi innovaatorina ja avab Eesti tehnoloogiaettev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tetele uusi turge valitsustehnoloogia (</w:t>
            </w:r>
            <w:r>
              <w:rPr>
                <w:rtl w:val="0"/>
              </w:rPr>
              <w:t xml:space="preserve">ing.k </w:t>
            </w:r>
            <w:r>
              <w:rPr>
                <w:i w:val="1"/>
                <w:iCs w:val="1"/>
                <w:rtl w:val="0"/>
                <w:lang w:val="pt-PT"/>
              </w:rPr>
              <w:t>GovTech</w:t>
            </w:r>
            <w:r>
              <w:rPr>
                <w:rtl w:val="0"/>
                <w:lang w:val="nl-NL"/>
              </w:rPr>
              <w:t>) sektoris, toetades strateegia eesm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rki kasvatada teadmusmahukat eksporti.</w:t>
            </w:r>
          </w:p>
          <w:p>
            <w:pPr>
              <w:pStyle w:val="Body"/>
            </w:pPr>
            <w:r>
              <w:rPr>
                <w:rtl w:val="0"/>
                <w:lang w:val="de-DE"/>
              </w:rPr>
              <w:t xml:space="preserve">2. Siht: </w:t>
            </w:r>
            <w:r>
              <w:rPr>
                <w:rtl w:val="0"/>
              </w:rPr>
              <w:t>“</w:t>
            </w:r>
            <w:r>
              <w:rPr>
                <w:rtl w:val="0"/>
                <w:lang w:val="nl-NL"/>
              </w:rPr>
              <w:t>Eesti on uuendusmeelne, usaldusv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rne ja inimesekeskne riik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”</w:t>
            </w:r>
            <w:r>
              <w:rPr>
                <w:rtl w:val="0"/>
                <w:lang w:val="nl-NL"/>
              </w:rPr>
              <w:t xml:space="preserve"> Strateegia r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hutab vajadust muuta riigivalitsemine 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husaks ja avalikud teenused proaktiivseks.</w:t>
            </w:r>
          </w:p>
          <w:p>
            <w:pPr>
              <w:pStyle w:val="Body"/>
              <w:numPr>
                <w:ilvl w:val="0"/>
                <w:numId w:val="26"/>
              </w:numPr>
            </w:pPr>
            <w:r>
              <w:rPr>
                <w:rtl w:val="0"/>
              </w:rPr>
              <w:t>T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hus ja 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huke riik: Arvestades t</w:t>
            </w:r>
            <w:r>
              <w:rPr>
                <w:rtl w:val="0"/>
              </w:rPr>
              <w:t>öö</w:t>
            </w:r>
            <w:r>
              <w:rPr>
                <w:rtl w:val="0"/>
              </w:rPr>
              <w:t>ealise elanikkonna v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henemist, aitab Aruait hoida riigi 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lalpidamiskulusid kontrolli all. Asendades rutiinse ametnikut</w:t>
            </w:r>
            <w:r>
              <w:rPr>
                <w:rtl w:val="0"/>
              </w:rPr>
              <w:t xml:space="preserve">öö </w:t>
            </w:r>
            <w:r>
              <w:rPr>
                <w:rtl w:val="0"/>
              </w:rPr>
              <w:t xml:space="preserve">(nt andmete kontrollimine, menetluste suunamine) </w:t>
            </w:r>
            <w:r>
              <w:rPr>
                <w:rtl w:val="0"/>
              </w:rPr>
              <w:t xml:space="preserve">autonoomsete </w:t>
            </w:r>
            <w:r>
              <w:rPr>
                <w:rtl w:val="0"/>
              </w:rPr>
              <w:t>tarkvaraagentide orkestreerimisega, suurendame riigi toimimisv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>imet ilma ametnikkonda paisutamata.</w:t>
            </w:r>
          </w:p>
          <w:p>
            <w:pPr>
              <w:pStyle w:val="Body"/>
              <w:numPr>
                <w:ilvl w:val="0"/>
                <w:numId w:val="26"/>
              </w:numPr>
            </w:pPr>
            <w:r>
              <w:rPr>
                <w:rtl w:val="0"/>
              </w:rPr>
              <w:t>Inimesekeskne ja n</w:t>
            </w:r>
            <w:r>
              <w:rPr>
                <w:rtl w:val="0"/>
              </w:rPr>
              <w:t>ä</w:t>
            </w:r>
            <w:r>
              <w:rPr>
                <w:rtl w:val="0"/>
                <w:lang w:val="nl-NL"/>
              </w:rPr>
              <w:t xml:space="preserve">htamatu teenus: Aruait on tehniline eeldus 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personaalriigi</w:t>
            </w:r>
            <w:r>
              <w:rPr>
                <w:rtl w:val="0"/>
              </w:rPr>
              <w:t>”</w:t>
            </w:r>
            <w:r>
              <w:rPr>
                <w:rtl w:val="0"/>
              </w:rPr>
              <w:t xml:space="preserve"> ja s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ndmusteenuste t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ielikuks rakendamiseks. See 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imaldab liikuda </w:t>
            </w:r>
            <w:r>
              <w:rPr>
                <w:rtl w:val="0"/>
              </w:rPr>
              <w:t xml:space="preserve">edasi </w:t>
            </w:r>
            <w:r>
              <w:rPr>
                <w:rtl w:val="0"/>
              </w:rPr>
              <w:t>olukorda, kus kodanik ei pea suhtlema asutustega, vaid saab volitada oma AI-agendi (v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i riikliku </w:t>
            </w:r>
            <w:r>
              <w:rPr>
                <w:rtl w:val="0"/>
              </w:rPr>
              <w:t>B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rokrati) asju ajama, muutes riigi toimimise kasutaja jaoks m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>rkamatuks ja mugavaks.</w:t>
            </w:r>
          </w:p>
          <w:p>
            <w:pPr>
              <w:pStyle w:val="Body"/>
            </w:pPr>
          </w:p>
          <w:p>
            <w:pPr>
              <w:pStyle w:val="Body"/>
            </w:pPr>
            <w:r>
              <w:rPr>
                <w:b w:val="1"/>
                <w:bCs w:val="1"/>
                <w:rtl w:val="0"/>
              </w:rPr>
              <w:t>Projekt on koosk</w:t>
            </w:r>
            <w:r>
              <w:rPr>
                <w:b w:val="1"/>
                <w:bCs w:val="1"/>
                <w:rtl w:val="0"/>
                <w:lang w:val="pt-PT"/>
              </w:rPr>
              <w:t>õ</w:t>
            </w:r>
            <w:r>
              <w:rPr>
                <w:b w:val="1"/>
                <w:bCs w:val="1"/>
                <w:rtl w:val="0"/>
                <w:lang w:val="es-ES_tradnl"/>
              </w:rPr>
              <w:t xml:space="preserve">las </w:t>
            </w:r>
            <w:r>
              <w:rPr>
                <w:b w:val="1"/>
                <w:bCs w:val="1"/>
                <w:rtl w:val="0"/>
              </w:rPr>
              <w:t>“</w:t>
            </w:r>
            <w:r>
              <w:rPr>
                <w:b w:val="1"/>
                <w:bCs w:val="1"/>
                <w:rtl w:val="0"/>
              </w:rPr>
              <w:t>Andmete ja tehisintellekti valge raamatu 2024-2030</w:t>
            </w:r>
            <w:r>
              <w:rPr>
                <w:b w:val="1"/>
                <w:bCs w:val="1"/>
                <w:rtl w:val="0"/>
              </w:rPr>
              <w:t>”</w:t>
            </w:r>
            <w:r>
              <w:rPr>
                <w:b w:val="1"/>
                <w:bCs w:val="1"/>
                <w:rtl w:val="0"/>
              </w:rPr>
              <w:t xml:space="preserve"> visiooniga krativ</w:t>
            </w:r>
            <w:r>
              <w:rPr>
                <w:b w:val="1"/>
                <w:bCs w:val="1"/>
                <w:rtl w:val="0"/>
              </w:rPr>
              <w:t>ä</w:t>
            </w:r>
            <w:r>
              <w:rPr>
                <w:b w:val="1"/>
                <w:bCs w:val="1"/>
                <w:rtl w:val="0"/>
              </w:rPr>
              <w:t xml:space="preserve">elisest riigist ja </w:t>
            </w:r>
            <w:r>
              <w:rPr>
                <w:b w:val="1"/>
                <w:bCs w:val="1"/>
                <w:rtl w:val="0"/>
              </w:rPr>
              <w:t>“</w:t>
            </w:r>
            <w:r>
              <w:rPr>
                <w:b w:val="1"/>
                <w:bCs w:val="1"/>
                <w:rtl w:val="0"/>
                <w:lang w:val="nl-NL"/>
              </w:rPr>
              <w:t>Tehisintellekti tegevuskava 2024-2026</w:t>
            </w:r>
            <w:r>
              <w:rPr>
                <w:b w:val="1"/>
                <w:bCs w:val="1"/>
                <w:rtl w:val="0"/>
              </w:rPr>
              <w:t>”</w:t>
            </w:r>
            <w:r>
              <w:rPr>
                <w:b w:val="1"/>
                <w:bCs w:val="1"/>
                <w:rtl w:val="0"/>
                <w:lang w:val="nl-NL"/>
              </w:rPr>
              <w:t xml:space="preserve"> eesm</w:t>
            </w:r>
            <w:r>
              <w:rPr>
                <w:b w:val="1"/>
                <w:bCs w:val="1"/>
                <w:rtl w:val="0"/>
              </w:rPr>
              <w:t>ä</w:t>
            </w:r>
            <w:r>
              <w:rPr>
                <w:b w:val="1"/>
                <w:bCs w:val="1"/>
                <w:rtl w:val="0"/>
              </w:rPr>
              <w:t>rgiga suurendada avalikus sektoris tehisintellekti rakendamist.</w:t>
            </w:r>
          </w:p>
        </w:tc>
      </w:tr>
    </w:tbl>
    <w:p>
      <w:pPr>
        <w:pStyle w:val="Body"/>
        <w:rPr>
          <w:b w:val="1"/>
          <w:bCs w:val="1"/>
        </w:rPr>
      </w:pP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6"/>
      </w:tblGrid>
      <w:tr>
        <w:tblPrEx>
          <w:shd w:val="clear" w:color="auto" w:fill="cdd4e9"/>
        </w:tblPrEx>
        <w:trPr>
          <w:trHeight w:val="1334" w:hRule="atLeast"/>
        </w:trPr>
        <w:tc>
          <w:tcPr>
            <w:tcW w:type="dxa" w:w="90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 xml:space="preserve">14. Avalike 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lesannete 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itmine projekti elluviimisel</w:t>
            </w:r>
          </w:p>
          <w:p>
            <w:pPr>
              <w:pStyle w:val="Body"/>
              <w:numPr>
                <w:ilvl w:val="0"/>
                <w:numId w:val="27"/>
              </w:numPr>
            </w:pPr>
            <w:r>
              <w:rPr>
                <w:i w:val="1"/>
                <w:iCs w:val="1"/>
                <w:shd w:val="nil" w:color="auto" w:fill="auto"/>
                <w:rtl w:val="0"/>
              </w:rPr>
              <w:t>Selgitada ning tuua v</w:t>
            </w:r>
            <w:r>
              <w:rPr>
                <w:i w:val="1"/>
                <w:iCs w:val="1"/>
                <w:shd w:val="nil" w:color="auto" w:fill="auto"/>
                <w:rtl w:val="0"/>
              </w:rPr>
              <w:t>ä</w:t>
            </w:r>
            <w:r>
              <w:rPr>
                <w:i w:val="1"/>
                <w:iCs w:val="1"/>
                <w:shd w:val="nil" w:color="auto" w:fill="auto"/>
                <w:rtl w:val="0"/>
              </w:rPr>
              <w:t>lja seosed ja viited, missuguse seaduse, m</w:t>
            </w:r>
            <w:r>
              <w:rPr>
                <w:i w:val="1"/>
                <w:iCs w:val="1"/>
                <w:shd w:val="nil" w:color="auto" w:fill="auto"/>
                <w:rtl w:val="0"/>
              </w:rPr>
              <w:t>ää</w:t>
            </w:r>
            <w:r>
              <w:rPr>
                <w:i w:val="1"/>
                <w:iCs w:val="1"/>
                <w:shd w:val="nil" w:color="auto" w:fill="auto"/>
                <w:rtl w:val="0"/>
                <w:lang w:val="nl-NL"/>
              </w:rPr>
              <w:t>ruse, haldusakti v</w:t>
            </w:r>
            <w:r>
              <w:rPr>
                <w:i w:val="1"/>
                <w:iCs w:val="1"/>
                <w:shd w:val="nil" w:color="auto" w:fill="auto"/>
                <w:rtl w:val="0"/>
                <w:lang w:val="pt-PT"/>
              </w:rPr>
              <w:t>õ</w:t>
            </w:r>
            <w:r>
              <w:rPr>
                <w:i w:val="1"/>
                <w:iCs w:val="1"/>
                <w:shd w:val="nil" w:color="auto" w:fill="auto"/>
                <w:rtl w:val="0"/>
              </w:rPr>
              <w:t>i lepingu alusel t</w:t>
            </w:r>
            <w:r>
              <w:rPr>
                <w:i w:val="1"/>
                <w:iCs w:val="1"/>
                <w:shd w:val="nil" w:color="auto" w:fill="auto"/>
                <w:rtl w:val="0"/>
              </w:rPr>
              <w:t>ä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idab ideekavandi esitaja asutus innovatsiooniprojekti ellu viies avalikke </w:t>
            </w:r>
            <w:r>
              <w:rPr>
                <w:i w:val="1"/>
                <w:iCs w:val="1"/>
                <w:shd w:val="nil" w:color="auto" w:fill="auto"/>
                <w:rtl w:val="0"/>
              </w:rPr>
              <w:t>ü</w:t>
            </w:r>
            <w:r>
              <w:rPr>
                <w:i w:val="1"/>
                <w:iCs w:val="1"/>
                <w:shd w:val="nil" w:color="auto" w:fill="auto"/>
                <w:rtl w:val="0"/>
                <w:lang w:val="pt-PT"/>
              </w:rPr>
              <w:t>lesandeid.</w:t>
            </w:r>
          </w:p>
          <w:p>
            <w:pPr>
              <w:pStyle w:val="Body"/>
              <w:numPr>
                <w:ilvl w:val="0"/>
                <w:numId w:val="27"/>
              </w:numPr>
            </w:pPr>
            <w:r>
              <w:rPr>
                <w:i w:val="1"/>
                <w:iCs w:val="1"/>
                <w:shd w:val="nil" w:color="auto" w:fill="auto"/>
                <w:rtl w:val="0"/>
              </w:rPr>
              <w:t xml:space="preserve">Kui ideekavandi esitaja on </w:t>
            </w:r>
            <w:r>
              <w:rPr>
                <w:i w:val="1"/>
                <w:iCs w:val="1"/>
                <w:shd w:val="nil" w:color="auto" w:fill="auto"/>
                <w:rtl w:val="0"/>
              </w:rPr>
              <w:t>MT</w:t>
            </w:r>
            <w:r>
              <w:rPr>
                <w:i w:val="1"/>
                <w:i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, siis selgitada, kuidas ta pakub otsest avalikku teenust (loe </w:t>
            </w: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"https://www.riigiteataja.ee/akt/119052022008?leiaKehtiv"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</w:rPr>
              <w:t>Teenuste korraldamise ja teabehalduse alused</w:t>
            </w:r>
            <w:r>
              <w:rPr>
                <w:rStyle w:val="Hyperlink.2"/>
                <w:rtl w:val="0"/>
              </w:rPr>
              <w:t>–</w:t>
            </w:r>
            <w:r>
              <w:rPr>
                <w:rStyle w:val="Hyperlink.2"/>
                <w:rtl w:val="0"/>
              </w:rPr>
              <w:t>Riigi Teataja</w:t>
            </w:r>
            <w:r>
              <w:rPr/>
              <w:fldChar w:fldCharType="end" w:fldLock="0"/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hd w:val="nil" w:color="auto" w:fill="auto"/>
                <w:rtl w:val="0"/>
              </w:rPr>
              <w:t>§</w:t>
            </w:r>
            <w:r>
              <w:rPr>
                <w:i w:val="1"/>
                <w:iCs w:val="1"/>
                <w:shd w:val="nil" w:color="auto" w:fill="auto"/>
                <w:rtl w:val="0"/>
              </w:rPr>
              <w:t>2 lg2).</w:t>
            </w:r>
          </w:p>
        </w:tc>
      </w:tr>
      <w:tr>
        <w:tblPrEx>
          <w:shd w:val="clear" w:color="auto" w:fill="cdd4e9"/>
        </w:tblPrEx>
        <w:trPr>
          <w:trHeight w:val="414" w:hRule="atLeast"/>
        </w:trPr>
        <w:tc>
          <w:tcPr>
            <w:tcW w:type="dxa" w:w="90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RIA t</w:t>
            </w:r>
            <w:r>
              <w:rPr>
                <w:rFonts w:ascii="Arial" w:cs="Arial Unicode MS" w:hAnsi="Arial" w:eastAsia="Arial Unicode MS" w:hint="default"/>
                <w:rtl w:val="0"/>
              </w:rPr>
              <w:t>ä</w:t>
            </w:r>
            <w:r>
              <w:rPr>
                <w:rFonts w:ascii="Arial" w:cs="Arial Unicode MS" w:hAnsi="Arial" w:eastAsia="Arial Unicode MS"/>
                <w:rtl w:val="0"/>
              </w:rPr>
              <w:t>idab oma p</w:t>
            </w:r>
            <w:r>
              <w:rPr>
                <w:rFonts w:ascii="Arial" w:cs="Arial Unicode MS" w:hAnsi="Arial" w:eastAsia="Arial Unicode MS" w:hint="default"/>
                <w:rtl w:val="0"/>
              </w:rPr>
              <w:t>õ</w:t>
            </w:r>
            <w:r>
              <w:rPr>
                <w:rFonts w:ascii="Arial" w:cs="Arial Unicode MS" w:hAnsi="Arial" w:eastAsia="Arial Unicode MS"/>
                <w:rtl w:val="0"/>
              </w:rPr>
              <w:t>him</w:t>
            </w:r>
            <w:r>
              <w:rPr>
                <w:rFonts w:ascii="Arial" w:cs="Arial Unicode MS" w:hAnsi="Arial" w:eastAsia="Arial Unicode MS" w:hint="default"/>
                <w:rtl w:val="0"/>
              </w:rPr>
              <w:t>ää</w:t>
            </w:r>
            <w:r>
              <w:rPr>
                <w:rFonts w:ascii="Arial" w:cs="Arial Unicode MS" w:hAnsi="Arial" w:eastAsia="Arial Unicode MS"/>
                <w:rtl w:val="0"/>
              </w:rPr>
              <w:t>rusest tulenevat kohustust arendada ja hallata riigi infos</w:t>
            </w:r>
            <w:r>
              <w:rPr>
                <w:rFonts w:ascii="Arial" w:cs="Arial Unicode MS" w:hAnsi="Arial" w:eastAsia="Arial Unicode MS" w:hint="default"/>
                <w:rtl w:val="0"/>
              </w:rPr>
              <w:t>ü</w:t>
            </w:r>
            <w:r>
              <w:rPr>
                <w:rFonts w:ascii="Arial" w:cs="Arial Unicode MS" w:hAnsi="Arial" w:eastAsia="Arial Unicode MS"/>
                <w:rtl w:val="0"/>
              </w:rPr>
              <w:t xml:space="preserve">steemi. Nn </w:t>
            </w:r>
            <w:r>
              <w:rPr>
                <w:rFonts w:ascii="Arial" w:cs="Arial Unicode MS" w:hAnsi="Arial" w:eastAsia="Arial Unicode MS" w:hint="default"/>
                <w:rtl w:val="0"/>
              </w:rPr>
              <w:t>“</w:t>
            </w:r>
            <w:r>
              <w:rPr>
                <w:rFonts w:ascii="Arial" w:cs="Arial Unicode MS" w:hAnsi="Arial" w:eastAsia="Arial Unicode MS"/>
                <w:rtl w:val="0"/>
              </w:rPr>
              <w:t>suver</w:t>
            </w:r>
            <w:r>
              <w:rPr>
                <w:rFonts w:ascii="Arial" w:cs="Arial Unicode MS" w:hAnsi="Arial" w:eastAsia="Arial Unicode MS" w:hint="default"/>
                <w:rtl w:val="0"/>
              </w:rPr>
              <w:t>ää</w:t>
            </w:r>
            <w:r>
              <w:rPr>
                <w:rFonts w:ascii="Arial" w:cs="Arial Unicode MS" w:hAnsi="Arial" w:eastAsia="Arial Unicode MS"/>
                <w:rtl w:val="0"/>
              </w:rPr>
              <w:t>nse halduskihi</w:t>
            </w:r>
            <w:r>
              <w:rPr>
                <w:rFonts w:ascii="Arial" w:cs="Arial Unicode MS" w:hAnsi="Arial" w:eastAsia="Arial Unicode MS" w:hint="default"/>
                <w:rtl w:val="0"/>
              </w:rPr>
              <w:t xml:space="preserve">” </w:t>
            </w:r>
            <w:r>
              <w:rPr>
                <w:rFonts w:ascii="Arial" w:cs="Arial Unicode MS" w:hAnsi="Arial" w:eastAsia="Arial Unicode MS"/>
                <w:rtl w:val="0"/>
              </w:rPr>
              <w:t>(registri ja agentide identiteedi) loomine on loomulik ja vajalik j</w:t>
            </w:r>
            <w:r>
              <w:rPr>
                <w:rFonts w:ascii="Arial" w:cs="Arial Unicode MS" w:hAnsi="Arial" w:eastAsia="Arial Unicode MS" w:hint="default"/>
                <w:rtl w:val="0"/>
              </w:rPr>
              <w:t>ä</w:t>
            </w:r>
            <w:r>
              <w:rPr>
                <w:rFonts w:ascii="Arial" w:cs="Arial Unicode MS" w:hAnsi="Arial" w:eastAsia="Arial Unicode MS"/>
                <w:rtl w:val="0"/>
              </w:rPr>
              <w:t>tk X-tee ja e-ID haldamisele.</w:t>
            </w:r>
          </w:p>
        </w:tc>
      </w:tr>
    </w:tbl>
    <w:p>
      <w:pPr>
        <w:pStyle w:val="Body"/>
        <w:rPr>
          <w:b w:val="1"/>
          <w:bCs w:val="1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360"/>
      </w:tblGrid>
      <w:tr>
        <w:tblPrEx>
          <w:shd w:val="clear" w:color="auto" w:fill="cdd4e9"/>
        </w:tblPrEx>
        <w:trPr>
          <w:trHeight w:val="1334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9da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15. Rahastus mitmest allikast</w:t>
            </w:r>
          </w:p>
          <w:p>
            <w:pPr>
              <w:pStyle w:val="Body"/>
              <w:numPr>
                <w:ilvl w:val="0"/>
                <w:numId w:val="28"/>
              </w:numPr>
            </w:pPr>
            <w:r>
              <w:rPr>
                <w:shd w:val="nil" w:color="auto" w:fill="auto"/>
                <w:rtl w:val="0"/>
                <w:lang w:val="nl-NL"/>
              </w:rPr>
              <w:t>Kas probleemi lahendamiseks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 planeeritud lahenduse katsetamiseks on taotletud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 taotletakse toetust teistest rahastamisallikatest?</w:t>
            </w:r>
          </w:p>
          <w:p>
            <w:pPr>
              <w:pStyle w:val="Body"/>
              <w:numPr>
                <w:ilvl w:val="0"/>
                <w:numId w:val="28"/>
              </w:numPr>
            </w:pPr>
            <w:r>
              <w:rPr>
                <w:shd w:val="nil" w:color="auto" w:fill="auto"/>
                <w:rtl w:val="0"/>
              </w:rPr>
              <w:t>Kui jah, siis tuua v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lja rahastusallikas, summa ja tegevused ning kas toetus on taotlemisel v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i projekt on saanud rahastusotsuse.</w:t>
            </w:r>
          </w:p>
        </w:tc>
      </w:tr>
      <w:tr>
        <w:tblPrEx>
          <w:shd w:val="clear" w:color="auto" w:fill="cdd4e9"/>
        </w:tblPrEx>
        <w:trPr>
          <w:trHeight w:val="614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>Projekti ei finantseerita topelt. Kuigi B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 xml:space="preserve">rokratt on saanud varasemat rahastust, on Aruait </w:t>
            </w:r>
            <w:r>
              <w:rPr>
                <w:b w:val="1"/>
                <w:bCs w:val="1"/>
                <w:rtl w:val="0"/>
              </w:rPr>
              <w:t>eraldi initsiatiiv</w:t>
            </w:r>
            <w:r>
              <w:rPr>
                <w:rtl w:val="0"/>
              </w:rPr>
              <w:t xml:space="preserve">, mis ehitab puuduoleva </w:t>
            </w:r>
            <w:r>
              <w:rPr>
                <w:i w:val="1"/>
                <w:iCs w:val="1"/>
                <w:rtl w:val="0"/>
                <w:lang w:val="fr-FR"/>
              </w:rPr>
              <w:t>back-end</w:t>
            </w:r>
            <w:r>
              <w:rPr>
                <w:rtl w:val="0"/>
              </w:rPr>
              <w:t xml:space="preserve"> taristu (register, identiteet 2.0, protokollid). See taristu on vajalik B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rokrati edasiarenduseks, kuid on sellest s</w:t>
            </w:r>
            <w:r>
              <w:rPr>
                <w:rtl w:val="0"/>
                <w:lang w:val="pt-PT"/>
              </w:rPr>
              <w:t>õ</w:t>
            </w:r>
            <w:r>
              <w:rPr>
                <w:rtl w:val="0"/>
              </w:rPr>
              <w:t xml:space="preserve">ltumatu ja teenindab kogu riigi 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</w:rPr>
              <w:t>kos</w:t>
            </w:r>
            <w:r>
              <w:rPr>
                <w:rtl w:val="0"/>
              </w:rPr>
              <w:t>ü</w:t>
            </w:r>
            <w:r>
              <w:rPr>
                <w:rtl w:val="0"/>
                <w:lang w:val="nl-NL"/>
              </w:rPr>
              <w:t>steemi.</w:t>
            </w:r>
          </w:p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Kinnitused</w:t>
      </w:r>
    </w:p>
    <w:p>
      <w:pPr>
        <w:pStyle w:val="Body"/>
        <w:rPr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☑</w:t>
      </w:r>
      <w:r>
        <w:rPr>
          <w:sz w:val="20"/>
          <w:szCs w:val="20"/>
          <w:rtl w:val="0"/>
        </w:rPr>
        <w:t xml:space="preserve"> Oleme teadlikud, et Riigikantselei v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 xml:space="preserve">ib saata ideekavandi eksperthinnangu saamiseks valdkonna ekspertidele. </w:t>
      </w:r>
    </w:p>
    <w:p>
      <w:pPr>
        <w:pStyle w:val="Body"/>
        <w:rPr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☑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Kinnitan, et esitatud innovatsiooniprojekt on teiste partnerite juhtkondadega kirjalikult koosk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 xml:space="preserve">lastatud. </w:t>
      </w:r>
    </w:p>
    <w:p>
      <w:pPr>
        <w:pStyle w:val="Body"/>
      </w:pPr>
    </w:p>
    <w:p>
      <w:pPr>
        <w:pStyle w:val="Body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Allkirjastamine</w:t>
      </w:r>
    </w:p>
    <w:p>
      <w:pPr>
        <w:pStyle w:val="List Paragraph"/>
        <w:numPr>
          <w:ilvl w:val="0"/>
          <w:numId w:val="30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Ideekavand tuleb allkirjastada projekti esitava(te) asutus(t)e allkirja</w:t>
      </w:r>
      <w:r>
        <w:rPr>
          <w:rFonts w:ascii="Arial" w:hAnsi="Arial" w:hint="default"/>
          <w:sz w:val="20"/>
          <w:szCs w:val="20"/>
          <w:rtl w:val="0"/>
          <w:lang w:val="pt-PT"/>
        </w:rPr>
        <w:t>õ</w:t>
      </w:r>
      <w:r>
        <w:rPr>
          <w:rFonts w:ascii="Arial" w:hAnsi="Arial"/>
          <w:sz w:val="20"/>
          <w:szCs w:val="20"/>
          <w:rtl w:val="0"/>
        </w:rPr>
        <w:t xml:space="preserve">igusliku juhtkonnaliikme poolt (nt kantsler, asekantsler, KOVi juht, KOVi volikogu esimees, ministeeriumi allasutuse juht/asejuht vms) ja saata </w:t>
      </w:r>
      <w:r>
        <w:rPr>
          <w:rStyle w:val="Link"/>
          <w:rFonts w:ascii="Arial" w:cs="Arial" w:hAnsi="Arial" w:eastAsia="Arial"/>
          <w:sz w:val="20"/>
          <w:szCs w:val="20"/>
        </w:rPr>
        <w:fldChar w:fldCharType="begin" w:fldLock="0"/>
      </w:r>
      <w:r>
        <w:rPr>
          <w:rStyle w:val="Link"/>
          <w:rFonts w:ascii="Arial" w:cs="Arial" w:hAnsi="Arial" w:eastAsia="Arial"/>
          <w:sz w:val="20"/>
          <w:szCs w:val="20"/>
        </w:rPr>
        <w:instrText xml:space="preserve"> HYPERLINK "mailto:riigikantselei@riigikantselei.ee"</w:instrText>
      </w:r>
      <w:r>
        <w:rPr>
          <w:rStyle w:val="Link"/>
          <w:rFonts w:ascii="Arial" w:cs="Arial" w:hAnsi="Arial" w:eastAsia="Arial"/>
          <w:sz w:val="20"/>
          <w:szCs w:val="20"/>
        </w:rPr>
        <w:fldChar w:fldCharType="separate" w:fldLock="0"/>
      </w:r>
      <w:r>
        <w:rPr>
          <w:rStyle w:val="Link"/>
          <w:rFonts w:ascii="Arial" w:hAnsi="Arial"/>
          <w:sz w:val="20"/>
          <w:szCs w:val="20"/>
          <w:rtl w:val="0"/>
          <w:lang w:val="nl-NL"/>
        </w:rPr>
        <w:t>riigikantselei@riigikantselei.ee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Caption"/>
        <w:bidi w:val="0"/>
      </w:pPr>
      <w:r>
        <w:rPr>
          <w:rtl w:val="0"/>
        </w:rPr>
        <w:t>Kasutatud allikad</w:t>
      </w:r>
    </w:p>
    <w:p>
      <w:pPr>
        <w:pStyle w:val="Caption"/>
        <w:bidi w:val="0"/>
      </w:pPr>
    </w:p>
    <w:p>
      <w:pPr>
        <w:pStyle w:val="Body"/>
        <w:numPr>
          <w:ilvl w:val="0"/>
          <w:numId w:val="32"/>
        </w:numPr>
      </w:pPr>
      <w:r>
        <w:rPr>
          <w:rtl w:val="0"/>
        </w:rPr>
        <w:t>Vabariigi Valitsus. (2021). Eesti 2035. (Allikas: Eesti 2035_PUHTAND U</w:t>
      </w:r>
      <w:r>
        <w:rPr>
          <w:rtl w:val="0"/>
        </w:rPr>
        <w:t>̈</w:t>
      </w:r>
      <w:r>
        <w:rPr>
          <w:rtl w:val="0"/>
          <w:lang w:val="en-US"/>
        </w:rPr>
        <w:t>LDOSA_210512_1.pdf)</w:t>
      </w:r>
    </w:p>
    <w:p>
      <w:pPr>
        <w:pStyle w:val="Body"/>
        <w:numPr>
          <w:ilvl w:val="0"/>
          <w:numId w:val="32"/>
        </w:numPr>
      </w:pPr>
      <w:r>
        <w:rPr>
          <w:rtl w:val="0"/>
          <w:lang w:val="nl-NL"/>
        </w:rPr>
        <w:t>Vabariigi Valitsus. (2024). Eesti 2035 tegevuskava. (Allikas: Eesti 2035 tegevuskava_25.04.2024.pdf)</w:t>
      </w:r>
    </w:p>
    <w:p>
      <w:pPr>
        <w:pStyle w:val="Body"/>
        <w:numPr>
          <w:ilvl w:val="0"/>
          <w:numId w:val="32"/>
        </w:numPr>
      </w:pPr>
      <w:r>
        <w:rPr>
          <w:rtl w:val="0"/>
        </w:rPr>
        <w:t>MKM, Justiitsministeerium, HTM, Riigikantselei. (2024). Andmete ja tehisintellekti valge raamat 2024-2030. (Allikas: Valge raamat 2024-2030 (59 lk).pdf)</w:t>
      </w:r>
    </w:p>
    <w:p>
      <w:pPr>
        <w:pStyle w:val="Body"/>
        <w:numPr>
          <w:ilvl w:val="0"/>
          <w:numId w:val="32"/>
        </w:numPr>
      </w:pPr>
      <w:r>
        <w:rPr>
          <w:rtl w:val="0"/>
          <w:lang w:val="nl-NL"/>
        </w:rPr>
        <w:t>MKM, Justiitsministeerium, HTM. (2024). Tehisintellekti tegevuskava 2024-2026. (Allikas: Tehisintellekti tegevuskava 2024-2026 (49 lk).pdf)</w:t>
      </w:r>
    </w:p>
    <w:p>
      <w:pPr>
        <w:pStyle w:val="Body"/>
        <w:numPr>
          <w:ilvl w:val="0"/>
          <w:numId w:val="32"/>
        </w:numPr>
      </w:pPr>
      <w:r>
        <w:rPr>
          <w:rtl w:val="0"/>
          <w:lang w:val="en-US"/>
        </w:rPr>
        <w:t>TAIE teekaart. (2022). Digilahendused igas eluvaldkonnas. (Allikas: Digilahendused igas eluvaldkonnas.pdf)</w:t>
      </w:r>
    </w:p>
    <w:p>
      <w:pPr>
        <w:pStyle w:val="Body"/>
        <w:numPr>
          <w:ilvl w:val="0"/>
          <w:numId w:val="32"/>
        </w:numPr>
      </w:pPr>
      <w:r>
        <w:rPr>
          <w:rtl w:val="0"/>
        </w:rPr>
        <w:t>TAIE teekaart. (2023). Eluj</w:t>
      </w:r>
      <w:r>
        <w:rPr>
          <w:rtl w:val="0"/>
        </w:rPr>
        <w:t>õ</w:t>
      </w:r>
      <w:r>
        <w:rPr>
          <w:rtl w:val="0"/>
        </w:rPr>
        <w:t xml:space="preserve">uline Eesti </w:t>
      </w:r>
      <w:r>
        <w:rPr>
          <w:rtl w:val="0"/>
        </w:rPr>
        <w:t>ü</w:t>
      </w:r>
      <w:r>
        <w:rPr>
          <w:rtl w:val="0"/>
        </w:rPr>
        <w:t xml:space="preserve">hiskond, keel ja kultuuriruum. (Allikas: </w:t>
      </w:r>
      <w:r>
        <w:rPr>
          <w:rtl w:val="0"/>
          <w:lang w:val="en-US"/>
        </w:rPr>
        <w:t>https://taie.ee/sites/default/files/documents/2023-12/Eluj</w:t>
      </w:r>
      <w:r>
        <w:rPr>
          <w:rtl w:val="0"/>
          <w:lang w:val="pt-PT"/>
        </w:rPr>
        <w:t>õ</w:t>
      </w:r>
      <w:r>
        <w:rPr>
          <w:rtl w:val="0"/>
          <w:lang w:val="nl-NL"/>
        </w:rPr>
        <w:t>ulise Eesti teekaart_1.pdf</w:t>
      </w:r>
      <w:r>
        <w:rPr>
          <w:rtl w:val="0"/>
        </w:rPr>
        <w:t>)</w:t>
      </w:r>
    </w:p>
    <w:p>
      <w:pPr>
        <w:pStyle w:val="Body"/>
        <w:numPr>
          <w:ilvl w:val="0"/>
          <w:numId w:val="32"/>
        </w:numPr>
      </w:pPr>
      <w:r>
        <w:rPr>
          <w:rtl w:val="0"/>
          <w:lang w:val="en-US"/>
        </w:rPr>
        <w:t>Ilves, L., Kilian, M., et al. (2025). The Agentic State: Rethinking Government for the Era of Agentic AI. (Allikas: The.Agentic.State.-.Vision.Paper.pdf)</w:t>
      </w:r>
    </w:p>
    <w:p>
      <w:pPr>
        <w:pStyle w:val="Body"/>
        <w:numPr>
          <w:ilvl w:val="0"/>
          <w:numId w:val="32"/>
        </w:numPr>
      </w:pPr>
      <w:r>
        <w:rPr>
          <w:rtl w:val="0"/>
          <w:lang w:val="en-US"/>
        </w:rPr>
        <w:t>GovStack Technical Roadmap. (2025). A General Technical Roadmap for the Agentic State. (Allikas: A General Technical Roadmap for the Agentic State .docx)</w:t>
      </w:r>
    </w:p>
    <w:p>
      <w:pPr>
        <w:pStyle w:val="Body"/>
        <w:numPr>
          <w:ilvl w:val="0"/>
          <w:numId w:val="32"/>
        </w:numPr>
      </w:pPr>
      <w:r>
        <w:rPr>
          <w:rtl w:val="0"/>
          <w:lang w:val="en-US"/>
        </w:rPr>
        <w:t>MIT NANDA Project. (2025). The GenAI Divide: State of AI in Business 2025. (Allikas: v0.1_State_of_AI_in_Business_2025_Report.pdf)</w:t>
      </w:r>
    </w:p>
    <w:p>
      <w:pPr>
        <w:pStyle w:val="Body"/>
        <w:numPr>
          <w:ilvl w:val="0"/>
          <w:numId w:val="32"/>
        </w:numPr>
      </w:pPr>
      <w:r>
        <w:rPr>
          <w:rtl w:val="0"/>
          <w:lang w:val="en-US"/>
        </w:rPr>
        <w:t>Boston Consulting Group (BCG). (2025). The Widening AI Value Gap: Build for the Future 2025. (Allikas: The-Widening-AI-Value-Gap-October-2025.pdf)</w:t>
      </w:r>
    </w:p>
    <w:p>
      <w:pPr>
        <w:pStyle w:val="Body"/>
        <w:numPr>
          <w:ilvl w:val="0"/>
          <w:numId w:val="32"/>
        </w:numPr>
      </w:pPr>
      <w:r>
        <w:rPr>
          <w:rtl w:val="0"/>
          <w:lang w:val="en-US"/>
        </w:rPr>
        <w:t>OpenAI. (2025). The state of enterprise AI: 2025 Report. (Allikas: the-state-of-enterprise-ai_2025-report.pdf)</w:t>
      </w:r>
    </w:p>
    <w:p>
      <w:pPr>
        <w:pStyle w:val="Body"/>
        <w:numPr>
          <w:ilvl w:val="0"/>
          <w:numId w:val="32"/>
        </w:numPr>
      </w:pPr>
      <w:r>
        <w:rPr>
          <w:rtl w:val="0"/>
          <w:lang w:val="en-US"/>
        </w:rPr>
        <w:t>CEO Declaration. (2025). The European CEO AI and critical tech declaration. (Allikas: CEO-AI-and-critical-tech-declaration_07092025_print-2.pdf)</w:t>
      </w:r>
    </w:p>
    <w:p>
      <w:pPr>
        <w:pStyle w:val="Body"/>
        <w:numPr>
          <w:ilvl w:val="0"/>
          <w:numId w:val="32"/>
        </w:numPr>
      </w:pPr>
      <w:r>
        <w:rPr>
          <w:rtl w:val="0"/>
          <w:lang w:val="en-US"/>
        </w:rPr>
        <w:t>Raieste, A., Solvak, M., Velsberg, O., McBride, K. (2025). Government efficiency in the age of AI. (Allikas: 1760256402919.pdf)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17" w:right="1417" w:bottom="1417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Fonts w:ascii="Arial" w:hAnsi="Arial"/>
          <w:sz w:val="18"/>
          <w:szCs w:val="18"/>
          <w:rtl w:val="0"/>
        </w:rPr>
        <w:t xml:space="preserve"> Juhul kui ideekavand on m</w:t>
      </w:r>
      <w:r>
        <w:rPr>
          <w:rFonts w:ascii="Arial" w:hAnsi="Arial" w:hint="default"/>
          <w:sz w:val="18"/>
          <w:szCs w:val="18"/>
          <w:rtl w:val="0"/>
          <w:lang w:val="pt-PT"/>
        </w:rPr>
        <w:t>õ</w:t>
      </w:r>
      <w:r>
        <w:rPr>
          <w:rFonts w:ascii="Arial" w:hAnsi="Arial"/>
          <w:sz w:val="18"/>
          <w:szCs w:val="18"/>
          <w:rtl w:val="0"/>
        </w:rPr>
        <w:t xml:space="preserve">eldud </w:t>
      </w:r>
      <w:r>
        <w:rPr>
          <w:rFonts w:ascii="Arial" w:hAnsi="Arial"/>
          <w:b w:val="1"/>
          <w:bCs w:val="1"/>
          <w:sz w:val="18"/>
          <w:szCs w:val="18"/>
          <w:rtl w:val="0"/>
        </w:rPr>
        <w:t>asutusesiseseks kasutamiseks</w:t>
      </w:r>
      <w:r>
        <w:rPr>
          <w:rFonts w:ascii="Arial" w:hAnsi="Arial"/>
          <w:sz w:val="18"/>
          <w:szCs w:val="18"/>
          <w:rtl w:val="0"/>
        </w:rPr>
        <w:t>, siis lisage vastav alus ideekavandi p</w:t>
      </w:r>
      <w:r>
        <w:rPr>
          <w:rFonts w:ascii="Arial" w:hAnsi="Arial" w:hint="default"/>
          <w:sz w:val="18"/>
          <w:szCs w:val="18"/>
          <w:rtl w:val="0"/>
        </w:rPr>
        <w:t>ä</w:t>
      </w:r>
      <w:r>
        <w:rPr>
          <w:rFonts w:ascii="Arial" w:hAnsi="Arial"/>
          <w:sz w:val="18"/>
          <w:szCs w:val="18"/>
          <w:rtl w:val="0"/>
        </w:rPr>
        <w:t xml:space="preserve">isesse. 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·"/>
      <w:lvlJc w:val="left"/>
      <w:pPr>
        <w:ind w:left="157" w:hanging="12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77" w:hanging="1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97" w:hanging="1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17" w:hanging="12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37" w:hanging="1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57" w:hanging="1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477" w:hanging="12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97" w:hanging="1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17" w:hanging="1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decimal"/>
      <w:suff w:val="tab"/>
      <w:lvlText w:val="%1.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9"/>
  </w:abstractNum>
  <w:abstractNum w:abstractNumId="25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Numbered"/>
  </w:abstractNum>
  <w:abstractNum w:abstractNumId="27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2"/>
    <w:lvlOverride w:ilvl="0">
      <w:startOverride w:val="4"/>
    </w:lvlOverride>
  </w:num>
  <w:num w:numId="6">
    <w:abstractNumId w:val="3"/>
  </w:num>
  <w:num w:numId="7">
    <w:abstractNumId w:val="4"/>
  </w:num>
  <w:num w:numId="8">
    <w:abstractNumId w:val="5"/>
  </w:num>
  <w:num w:numId="9">
    <w:abstractNumId w:val="4"/>
    <w:lvlOverride w:ilvl="0">
      <w:startOverride w:val="1"/>
    </w:lvlOverride>
  </w:num>
  <w:num w:numId="10">
    <w:abstractNumId w:val="6"/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5"/>
  </w:num>
  <w:num w:numId="30">
    <w:abstractNumId w:val="24"/>
  </w:num>
  <w:num w:numId="31">
    <w:abstractNumId w:val="2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6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20"/>
      <w:szCs w:val="20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shd w:val="nil" w:color="auto" w:fill="auto"/>
    </w:rPr>
  </w:style>
  <w:style w:type="character" w:styleId="Hyperlink.2">
    <w:name w:val="Hyperlink.2"/>
    <w:basedOn w:val="Link"/>
    <w:next w:val="Hyperlink.2"/>
    <w:rPr>
      <w:rFonts w:ascii="Arial" w:cs="Arial" w:hAnsi="Arial" w:eastAsia="Arial"/>
      <w:i w:val="1"/>
      <w:iCs w:val="1"/>
      <w:shd w:val="nil" w:color="auto" w:fill="auto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9">
    <w:name w:val="Imported Style 9"/>
    <w:pPr>
      <w:numPr>
        <w:numId w:val="29"/>
      </w:numPr>
    </w:pPr>
  </w:style>
  <w:style w:type="numbering" w:styleId="Numbered">
    <w:name w:val="Numbered"/>
    <w:pPr>
      <w:numPr>
        <w:numId w:val="3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